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EB1CD" w14:textId="32CDA013" w:rsidR="00FB2E92" w:rsidRPr="00A37C1D" w:rsidRDefault="00FB2E92" w:rsidP="00194F2D">
      <w:pPr>
        <w:jc w:val="both"/>
        <w:rPr>
          <w:rFonts w:ascii="Calibri" w:hAnsi="Calibri" w:cs="Calibri"/>
          <w:lang w:val="en-US"/>
        </w:rPr>
      </w:pPr>
    </w:p>
    <w:p w14:paraId="0D70F1D0" w14:textId="77777777" w:rsidR="00D34E32" w:rsidRPr="00A37C1D" w:rsidRDefault="00D34E32" w:rsidP="00194F2D">
      <w:pPr>
        <w:jc w:val="both"/>
        <w:rPr>
          <w:rFonts w:ascii="Calibri" w:hAnsi="Calibri" w:cs="Calibri"/>
          <w:lang w:val="en-US"/>
        </w:rPr>
      </w:pPr>
    </w:p>
    <w:p w14:paraId="39CFA308" w14:textId="77777777" w:rsidR="00D34E32" w:rsidRPr="00A37C1D" w:rsidRDefault="00D34E32" w:rsidP="00194F2D">
      <w:pPr>
        <w:jc w:val="both"/>
        <w:rPr>
          <w:rFonts w:ascii="Calibri" w:hAnsi="Calibri" w:cs="Calibri"/>
          <w:lang w:val="en-US"/>
        </w:rPr>
      </w:pPr>
    </w:p>
    <w:p w14:paraId="519D85BB" w14:textId="77777777" w:rsidR="00D34E32" w:rsidRPr="00A37C1D" w:rsidRDefault="00D34E32" w:rsidP="00194F2D">
      <w:pPr>
        <w:jc w:val="both"/>
        <w:rPr>
          <w:rFonts w:ascii="Calibri" w:hAnsi="Calibri" w:cs="Calibri"/>
          <w:lang w:val="en-US"/>
        </w:rPr>
      </w:pPr>
    </w:p>
    <w:p w14:paraId="254C69FB" w14:textId="77777777" w:rsidR="00D34E32" w:rsidRPr="00A37C1D" w:rsidRDefault="00D34E32" w:rsidP="00194F2D">
      <w:pPr>
        <w:jc w:val="both"/>
        <w:rPr>
          <w:rFonts w:ascii="Calibri" w:hAnsi="Calibri" w:cs="Calibri"/>
          <w:lang w:val="en-US"/>
        </w:rPr>
      </w:pPr>
    </w:p>
    <w:p w14:paraId="0373A526" w14:textId="77777777" w:rsidR="00D34E32" w:rsidRPr="00A37C1D" w:rsidRDefault="00D34E32" w:rsidP="00194F2D">
      <w:pPr>
        <w:jc w:val="both"/>
        <w:rPr>
          <w:rFonts w:ascii="Calibri" w:hAnsi="Calibri" w:cs="Calibri"/>
          <w:lang w:val="en-US"/>
        </w:rPr>
      </w:pPr>
    </w:p>
    <w:p w14:paraId="197C9617" w14:textId="77777777" w:rsidR="006A1078" w:rsidRPr="00A37C1D" w:rsidRDefault="006A1078" w:rsidP="00194F2D">
      <w:pPr>
        <w:jc w:val="both"/>
        <w:rPr>
          <w:rFonts w:ascii="Calibri" w:hAnsi="Calibri" w:cs="Calibri"/>
          <w:b/>
          <w:bCs/>
        </w:rPr>
      </w:pPr>
    </w:p>
    <w:p w14:paraId="3FAA366F" w14:textId="77777777" w:rsidR="006A1078" w:rsidRPr="00A37C1D" w:rsidRDefault="006A1078" w:rsidP="00E14659">
      <w:pPr>
        <w:jc w:val="center"/>
        <w:rPr>
          <w:rFonts w:ascii="Calibri" w:hAnsi="Calibri" w:cs="Calibri"/>
          <w:b/>
          <w:bCs/>
          <w:sz w:val="32"/>
        </w:rPr>
      </w:pPr>
    </w:p>
    <w:p w14:paraId="5DBDD5B0" w14:textId="441183E8" w:rsidR="00D34E32" w:rsidRPr="00A37C1D" w:rsidRDefault="006A1078" w:rsidP="00E14659">
      <w:pPr>
        <w:jc w:val="center"/>
        <w:rPr>
          <w:rFonts w:ascii="Calibri" w:hAnsi="Calibri" w:cs="Calibri"/>
          <w:b/>
          <w:bCs/>
          <w:sz w:val="44"/>
        </w:rPr>
      </w:pPr>
      <w:r w:rsidRPr="00A37C1D">
        <w:rPr>
          <w:rFonts w:ascii="Calibri" w:hAnsi="Calibri" w:cs="Calibri"/>
          <w:b/>
          <w:bCs/>
          <w:sz w:val="44"/>
        </w:rPr>
        <w:t>შენიშვნების გათვალისწინების ფურცელი</w:t>
      </w:r>
    </w:p>
    <w:p w14:paraId="7958317E" w14:textId="77777777" w:rsidR="00D34E32" w:rsidRPr="00A37C1D" w:rsidRDefault="00D34E32" w:rsidP="00194F2D">
      <w:pPr>
        <w:jc w:val="both"/>
        <w:rPr>
          <w:rFonts w:ascii="Calibri" w:hAnsi="Calibri" w:cs="Calibri"/>
          <w:lang w:val="en-US"/>
        </w:rPr>
      </w:pPr>
    </w:p>
    <w:p w14:paraId="20D812BF" w14:textId="77777777" w:rsidR="00D34E32" w:rsidRPr="00A37C1D" w:rsidRDefault="00D34E32" w:rsidP="00194F2D">
      <w:pPr>
        <w:jc w:val="both"/>
        <w:rPr>
          <w:rFonts w:ascii="Calibri" w:hAnsi="Calibri" w:cs="Calibri"/>
          <w:lang w:val="en-US"/>
        </w:rPr>
      </w:pPr>
    </w:p>
    <w:p w14:paraId="57E280BE" w14:textId="77777777" w:rsidR="00D34E32" w:rsidRPr="00A37C1D" w:rsidRDefault="00D34E32" w:rsidP="00194F2D">
      <w:pPr>
        <w:jc w:val="both"/>
        <w:rPr>
          <w:rFonts w:ascii="Calibri" w:hAnsi="Calibri" w:cs="Calibri"/>
          <w:lang w:val="en-US"/>
        </w:rPr>
      </w:pPr>
    </w:p>
    <w:p w14:paraId="547C9C6A" w14:textId="77777777" w:rsidR="00D34E32" w:rsidRPr="00A37C1D" w:rsidRDefault="00D34E32" w:rsidP="00194F2D">
      <w:pPr>
        <w:jc w:val="both"/>
        <w:rPr>
          <w:rFonts w:ascii="Calibri" w:hAnsi="Calibri" w:cs="Calibri"/>
          <w:lang w:val="en-US"/>
        </w:rPr>
      </w:pPr>
    </w:p>
    <w:p w14:paraId="71A00E10" w14:textId="77777777" w:rsidR="00D34E32" w:rsidRPr="00A37C1D" w:rsidRDefault="00D34E32" w:rsidP="00194F2D">
      <w:pPr>
        <w:jc w:val="both"/>
        <w:rPr>
          <w:rFonts w:ascii="Calibri" w:hAnsi="Calibri" w:cs="Calibri"/>
          <w:lang w:val="en-US"/>
        </w:rPr>
      </w:pPr>
    </w:p>
    <w:p w14:paraId="08358062" w14:textId="77777777" w:rsidR="00D34E32" w:rsidRPr="00A37C1D" w:rsidRDefault="00D34E32" w:rsidP="00194F2D">
      <w:pPr>
        <w:jc w:val="both"/>
        <w:rPr>
          <w:rFonts w:ascii="Calibri" w:hAnsi="Calibri" w:cs="Calibri"/>
          <w:lang w:val="en-US"/>
        </w:rPr>
      </w:pPr>
    </w:p>
    <w:p w14:paraId="77AED6FE" w14:textId="77777777" w:rsidR="00D34E32" w:rsidRPr="00A37C1D" w:rsidRDefault="00D34E32" w:rsidP="00194F2D">
      <w:pPr>
        <w:jc w:val="both"/>
        <w:rPr>
          <w:rFonts w:ascii="Calibri" w:hAnsi="Calibri" w:cs="Calibri"/>
          <w:lang w:val="en-US"/>
        </w:rPr>
      </w:pPr>
    </w:p>
    <w:p w14:paraId="46D4558E" w14:textId="77777777" w:rsidR="00D34E32" w:rsidRPr="00A37C1D" w:rsidRDefault="00D34E32" w:rsidP="00194F2D">
      <w:pPr>
        <w:jc w:val="both"/>
        <w:rPr>
          <w:rFonts w:ascii="Calibri" w:hAnsi="Calibri" w:cs="Calibri"/>
          <w:lang w:val="en-US"/>
        </w:rPr>
      </w:pPr>
    </w:p>
    <w:p w14:paraId="4F9F1B43" w14:textId="07934F9E" w:rsidR="00D34E32" w:rsidRPr="00A37C1D" w:rsidRDefault="00D34E32" w:rsidP="00194F2D">
      <w:pPr>
        <w:jc w:val="both"/>
        <w:rPr>
          <w:rFonts w:ascii="Calibri" w:hAnsi="Calibri" w:cs="Calibri"/>
          <w:lang w:val="en-US"/>
        </w:rPr>
      </w:pPr>
    </w:p>
    <w:p w14:paraId="39620D22" w14:textId="77777777" w:rsidR="004E4369" w:rsidRPr="00A37C1D" w:rsidRDefault="004E4369" w:rsidP="00194F2D">
      <w:pPr>
        <w:jc w:val="both"/>
        <w:rPr>
          <w:rFonts w:ascii="Calibri" w:hAnsi="Calibri" w:cs="Calibri"/>
          <w:lang w:val="en-US"/>
        </w:rPr>
      </w:pPr>
    </w:p>
    <w:tbl>
      <w:tblPr>
        <w:tblStyle w:val="TableGrid"/>
        <w:tblpPr w:leftFromText="180" w:rightFromText="180" w:vertAnchor="text" w:tblpY="1"/>
        <w:tblOverlap w:val="never"/>
        <w:tblW w:w="14453" w:type="dxa"/>
        <w:tblLayout w:type="fixed"/>
        <w:tblLook w:val="04A0" w:firstRow="1" w:lastRow="0" w:firstColumn="1" w:lastColumn="0" w:noHBand="0" w:noVBand="1"/>
      </w:tblPr>
      <w:tblGrid>
        <w:gridCol w:w="562"/>
        <w:gridCol w:w="5528"/>
        <w:gridCol w:w="8363"/>
      </w:tblGrid>
      <w:tr w:rsidR="004E4369" w:rsidRPr="00A37C1D" w14:paraId="6DAFE5B3" w14:textId="77777777" w:rsidTr="00346E59">
        <w:tc>
          <w:tcPr>
            <w:tcW w:w="562" w:type="dxa"/>
            <w:shd w:val="clear" w:color="auto" w:fill="B4C6E7" w:themeFill="accent1" w:themeFillTint="66"/>
          </w:tcPr>
          <w:p w14:paraId="2386E4AF" w14:textId="7CA13250" w:rsidR="004E4369" w:rsidRPr="00A37C1D" w:rsidRDefault="004E4369">
            <w:pPr>
              <w:rPr>
                <w:rFonts w:ascii="Calibri" w:hAnsi="Calibri" w:cs="Calibri"/>
                <w:b/>
                <w:bCs/>
              </w:rPr>
            </w:pPr>
            <w:r w:rsidRPr="00A37C1D">
              <w:rPr>
                <w:rFonts w:ascii="Calibri" w:hAnsi="Calibri" w:cs="Calibri"/>
                <w:b/>
                <w:bCs/>
              </w:rPr>
              <w:lastRenderedPageBreak/>
              <w:t>№</w:t>
            </w:r>
          </w:p>
        </w:tc>
        <w:tc>
          <w:tcPr>
            <w:tcW w:w="5528" w:type="dxa"/>
            <w:shd w:val="clear" w:color="auto" w:fill="B4C6E7" w:themeFill="accent1" w:themeFillTint="66"/>
          </w:tcPr>
          <w:p w14:paraId="08FFDD74" w14:textId="74108DEB" w:rsidR="004E4369" w:rsidRPr="00A37C1D" w:rsidRDefault="004E4369">
            <w:pPr>
              <w:jc w:val="both"/>
              <w:rPr>
                <w:rFonts w:ascii="Calibri" w:hAnsi="Calibri" w:cs="Calibri"/>
                <w:b/>
                <w:bCs/>
              </w:rPr>
            </w:pPr>
            <w:r w:rsidRPr="00A37C1D">
              <w:rPr>
                <w:rFonts w:ascii="Calibri" w:hAnsi="Calibri" w:cs="Calibri"/>
                <w:b/>
                <w:bCs/>
              </w:rPr>
              <w:t>შენიშვნა</w:t>
            </w:r>
          </w:p>
        </w:tc>
        <w:tc>
          <w:tcPr>
            <w:tcW w:w="8363" w:type="dxa"/>
            <w:shd w:val="clear" w:color="auto" w:fill="B4C6E7" w:themeFill="accent1" w:themeFillTint="66"/>
          </w:tcPr>
          <w:p w14:paraId="441B7DA4" w14:textId="0153155D" w:rsidR="004E4369" w:rsidRPr="00A37C1D" w:rsidRDefault="004E4369">
            <w:pPr>
              <w:jc w:val="both"/>
              <w:rPr>
                <w:rFonts w:ascii="Calibri" w:hAnsi="Calibri" w:cs="Calibri"/>
                <w:b/>
                <w:bCs/>
              </w:rPr>
            </w:pPr>
            <w:r w:rsidRPr="00A37C1D">
              <w:rPr>
                <w:rFonts w:ascii="Calibri" w:hAnsi="Calibri" w:cs="Calibri"/>
                <w:b/>
                <w:bCs/>
              </w:rPr>
              <w:t>კომენტარი</w:t>
            </w:r>
          </w:p>
        </w:tc>
      </w:tr>
      <w:tr w:rsidR="004E4369" w:rsidRPr="00A37C1D" w14:paraId="2A6BFB62" w14:textId="77777777" w:rsidTr="00346E59">
        <w:tc>
          <w:tcPr>
            <w:tcW w:w="562" w:type="dxa"/>
          </w:tcPr>
          <w:p w14:paraId="100BFE2A" w14:textId="77777777" w:rsidR="004E4369" w:rsidRPr="00A37C1D" w:rsidRDefault="004E4369">
            <w:pPr>
              <w:pStyle w:val="ListParagraph"/>
              <w:numPr>
                <w:ilvl w:val="0"/>
                <w:numId w:val="7"/>
              </w:numPr>
              <w:rPr>
                <w:rFonts w:ascii="Calibri" w:hAnsi="Calibri" w:cs="Calibri"/>
              </w:rPr>
            </w:pPr>
          </w:p>
        </w:tc>
        <w:tc>
          <w:tcPr>
            <w:tcW w:w="5528" w:type="dxa"/>
          </w:tcPr>
          <w:p w14:paraId="6D45D98E" w14:textId="77777777" w:rsidR="009F6C2A" w:rsidRPr="00A37C1D" w:rsidRDefault="004E4369">
            <w:pPr>
              <w:jc w:val="both"/>
              <w:rPr>
                <w:rFonts w:ascii="Calibri" w:eastAsia="Arial Unicode MS" w:hAnsi="Calibri" w:cs="Calibri"/>
              </w:rPr>
            </w:pPr>
            <w:r w:rsidRPr="00A37C1D">
              <w:rPr>
                <w:rFonts w:ascii="Calibri" w:eastAsia="Arial Unicode MS" w:hAnsi="Calibri" w:cs="Calibri"/>
              </w:rPr>
              <w:t xml:space="preserve">სგშ-ის ანგარიშის თანახმად, (5.3 ალტერნატივების განხილვის შედეგი) სტრატეგიულ დოკუმენტში მოცემულ მონაცემებსა და ინფორმაციაზე დაყრდნობით, NECP-ის ღონისძიებების ერთობლიობა წარმოადგენს უპირატეს ალტერნატივას საქართველოს სახელმწიფო ენერგეტიკული პოლიტიკის მიზნების შესასრულებლად, სტრატეგიული დოკუმენტით გათვალისწინებული მიზნებისა და მისი მიღწევის ვადების, მიმდინარე ენერგეტიკული პროექტების, ექსპლუატაციაში შესული ელექტროსადგურებისა და უახლოეს მომავალში ექსპლუატაციაში შესასვლელი ელექტროსადგურების გათვალისწინებით. შესაბამისად, საჭიროა გარდა პოლიტიკის მიზნებისა, მოსაზრება ეყრდნობოდეს გარემოსდაცვითი კუთხით დასაბუთებასაც. </w:t>
            </w:r>
          </w:p>
          <w:p w14:paraId="39FEFB75" w14:textId="5EDC580A" w:rsidR="00AC7E68" w:rsidRPr="00A37C1D" w:rsidRDefault="00AC7E68">
            <w:pPr>
              <w:jc w:val="both"/>
              <w:rPr>
                <w:rFonts w:ascii="Calibri" w:eastAsia="Arial Unicode MS" w:hAnsi="Calibri" w:cs="Calibri"/>
              </w:rPr>
            </w:pPr>
          </w:p>
          <w:p w14:paraId="243976D7" w14:textId="2BB81299" w:rsidR="004E4369" w:rsidRPr="00A37C1D" w:rsidRDefault="004E4369">
            <w:pPr>
              <w:jc w:val="both"/>
              <w:rPr>
                <w:rFonts w:ascii="Calibri" w:eastAsia="Arial Unicode MS" w:hAnsi="Calibri" w:cs="Calibri"/>
              </w:rPr>
            </w:pPr>
            <w:r w:rsidRPr="00A37C1D">
              <w:rPr>
                <w:rFonts w:ascii="Calibri" w:eastAsia="Arial Unicode MS" w:hAnsi="Calibri" w:cs="Calibri"/>
              </w:rPr>
              <w:t>ამასთან, წარმოდგენილ უნდა იქნას დასაბუთებული ინფორმაცია, რატომ არ იქნა ცალკე ალტერნატივად განხილული მზის ენერგიის წარმოება ან/და მზის და ქარის ენერგიის წარმოების კომბინირებული ალტერნატივა;</w:t>
            </w:r>
          </w:p>
          <w:p w14:paraId="372247BB" w14:textId="77777777" w:rsidR="004E4369" w:rsidRPr="00A37C1D" w:rsidRDefault="004E4369">
            <w:pPr>
              <w:ind w:left="-104"/>
              <w:jc w:val="both"/>
              <w:rPr>
                <w:rFonts w:ascii="Calibri" w:hAnsi="Calibri" w:cs="Calibri"/>
                <w:lang w:val="en-US"/>
              </w:rPr>
            </w:pPr>
          </w:p>
        </w:tc>
        <w:tc>
          <w:tcPr>
            <w:tcW w:w="8363" w:type="dxa"/>
          </w:tcPr>
          <w:p w14:paraId="6F6AD36C" w14:textId="454F1004" w:rsidR="004E4369" w:rsidRPr="00A37C1D" w:rsidRDefault="004E4369">
            <w:pPr>
              <w:pStyle w:val="HTMLPreformatted"/>
              <w:jc w:val="both"/>
              <w:rPr>
                <w:rFonts w:ascii="Calibri" w:eastAsia="Arial Unicode MS" w:hAnsi="Calibri" w:cs="Calibri"/>
                <w:sz w:val="22"/>
                <w:szCs w:val="22"/>
              </w:rPr>
            </w:pPr>
            <w:proofErr w:type="spellStart"/>
            <w:proofErr w:type="gramStart"/>
            <w:r w:rsidRPr="00A37C1D">
              <w:rPr>
                <w:rFonts w:ascii="Calibri" w:eastAsia="Arial Unicode MS" w:hAnsi="Calibri" w:cs="Calibri"/>
                <w:sz w:val="22"/>
                <w:szCs w:val="22"/>
              </w:rPr>
              <w:t>გარემოსდაცვითი</w:t>
            </w:r>
            <w:proofErr w:type="spellEnd"/>
            <w:proofErr w:type="gram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შეფასების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კოდექსის</w:t>
            </w:r>
            <w:proofErr w:type="spellEnd"/>
            <w:r w:rsidRPr="00A37C1D">
              <w:rPr>
                <w:rFonts w:ascii="Calibri" w:eastAsia="Arial Unicode MS" w:hAnsi="Calibri" w:cs="Calibri"/>
                <w:sz w:val="22"/>
                <w:szCs w:val="22"/>
              </w:rPr>
              <w:t xml:space="preserve"> მიხედვით სგშ-ს </w:t>
            </w:r>
            <w:proofErr w:type="spellStart"/>
            <w:r w:rsidRPr="00A37C1D">
              <w:rPr>
                <w:rFonts w:ascii="Calibri" w:eastAsia="Arial Unicode MS" w:hAnsi="Calibri" w:cs="Calibri"/>
                <w:sz w:val="22"/>
                <w:szCs w:val="22"/>
              </w:rPr>
              <w:t>ანგარიში</w:t>
            </w:r>
            <w:proofErr w:type="spellEnd"/>
            <w:r w:rsidRPr="00A37C1D">
              <w:rPr>
                <w:rFonts w:ascii="Calibri" w:eastAsia="Arial Unicode MS" w:hAnsi="Calibri" w:cs="Calibri"/>
                <w:sz w:val="22"/>
                <w:szCs w:val="22"/>
              </w:rPr>
              <w:t xml:space="preserve"> უნდა </w:t>
            </w:r>
            <w:proofErr w:type="spellStart"/>
            <w:r w:rsidRPr="00A37C1D">
              <w:rPr>
                <w:rFonts w:ascii="Calibri" w:eastAsia="Arial Unicode MS" w:hAnsi="Calibri" w:cs="Calibri"/>
                <w:sz w:val="22"/>
                <w:szCs w:val="22"/>
              </w:rPr>
              <w:t>მოიცავდეს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განხილული</w:t>
            </w:r>
            <w:proofErr w:type="spellEnd"/>
            <w:r w:rsidRPr="00A37C1D">
              <w:rPr>
                <w:rFonts w:ascii="Calibri" w:eastAsia="Arial Unicode MS" w:hAnsi="Calibri" w:cs="Calibri"/>
                <w:sz w:val="22"/>
                <w:szCs w:val="22"/>
              </w:rPr>
              <w:t xml:space="preserve">  ალტერნატივების </w:t>
            </w:r>
            <w:proofErr w:type="spellStart"/>
            <w:r w:rsidRPr="00A37C1D">
              <w:rPr>
                <w:rFonts w:ascii="Calibri" w:eastAsia="Arial Unicode MS" w:hAnsi="Calibri" w:cs="Calibri"/>
                <w:sz w:val="22"/>
                <w:szCs w:val="22"/>
              </w:rPr>
              <w:t>დასაბუთებასთან</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დაკავშირებულ</w:t>
            </w:r>
            <w:proofErr w:type="spellEnd"/>
            <w:r w:rsidRPr="00A37C1D">
              <w:rPr>
                <w:rFonts w:ascii="Calibri" w:eastAsia="Arial Unicode MS" w:hAnsi="Calibri" w:cs="Calibri"/>
                <w:sz w:val="22"/>
                <w:szCs w:val="22"/>
              </w:rPr>
              <w:t> </w:t>
            </w:r>
            <w:proofErr w:type="spellStart"/>
            <w:r w:rsidRPr="00A37C1D">
              <w:rPr>
                <w:rFonts w:ascii="Calibri" w:eastAsia="Arial Unicode MS" w:hAnsi="Calibri" w:cs="Calibri"/>
                <w:sz w:val="22"/>
                <w:szCs w:val="22"/>
              </w:rPr>
              <w:t>მოსაზრებებს</w:t>
            </w:r>
            <w:proofErr w:type="spellEnd"/>
            <w:r w:rsidRPr="00A37C1D">
              <w:rPr>
                <w:rFonts w:ascii="Calibri" w:eastAsia="Arial Unicode MS" w:hAnsi="Calibri" w:cs="Calibri"/>
                <w:sz w:val="22"/>
                <w:szCs w:val="22"/>
              </w:rPr>
              <w:t>“ (</w:t>
            </w:r>
            <w:proofErr w:type="spellStart"/>
            <w:r w:rsidRPr="00A37C1D">
              <w:rPr>
                <w:rFonts w:ascii="Calibri" w:eastAsia="Arial Unicode MS" w:hAnsi="Calibri" w:cs="Calibri"/>
                <w:sz w:val="22"/>
                <w:szCs w:val="22"/>
              </w:rPr>
              <w:t>მუხლი</w:t>
            </w:r>
            <w:proofErr w:type="spellEnd"/>
            <w:r w:rsidRPr="00A37C1D">
              <w:rPr>
                <w:rFonts w:ascii="Calibri" w:eastAsia="Arial Unicode MS" w:hAnsi="Calibri" w:cs="Calibri"/>
                <w:sz w:val="22"/>
                <w:szCs w:val="22"/>
              </w:rPr>
              <w:t xml:space="preserve"> 26, </w:t>
            </w:r>
            <w:proofErr w:type="spellStart"/>
            <w:r w:rsidRPr="00A37C1D">
              <w:rPr>
                <w:rFonts w:ascii="Calibri" w:eastAsia="Arial Unicode MS" w:hAnsi="Calibri" w:cs="Calibri"/>
                <w:sz w:val="22"/>
                <w:szCs w:val="22"/>
              </w:rPr>
              <w:t>პუნქტი</w:t>
            </w:r>
            <w:proofErr w:type="spellEnd"/>
            <w:r w:rsidRPr="00A37C1D">
              <w:rPr>
                <w:rFonts w:ascii="Calibri" w:eastAsia="Arial Unicode MS" w:hAnsi="Calibri" w:cs="Calibri"/>
                <w:sz w:val="22"/>
                <w:szCs w:val="22"/>
              </w:rPr>
              <w:t xml:space="preserve"> 2 (ზ)). </w:t>
            </w:r>
            <w:proofErr w:type="spellStart"/>
            <w:r w:rsidRPr="00A37C1D">
              <w:rPr>
                <w:rFonts w:ascii="Calibri" w:eastAsia="Arial Unicode MS" w:hAnsi="Calibri" w:cs="Calibri"/>
                <w:sz w:val="22"/>
                <w:szCs w:val="22"/>
              </w:rPr>
              <w:t>შესაბამისად</w:t>
            </w:r>
            <w:proofErr w:type="spellEnd"/>
            <w:r w:rsidRPr="00A37C1D">
              <w:rPr>
                <w:rFonts w:ascii="Calibri" w:eastAsia="Arial Unicode MS" w:hAnsi="Calibri" w:cs="Calibri"/>
                <w:sz w:val="22"/>
                <w:szCs w:val="22"/>
              </w:rPr>
              <w:t>, სგშ-</w:t>
            </w:r>
            <w:r w:rsidR="009E0A47" w:rsidRPr="00A37C1D">
              <w:rPr>
                <w:rFonts w:ascii="Calibri" w:eastAsia="Arial Unicode MS" w:hAnsi="Calibri" w:cs="Calibri"/>
                <w:sz w:val="22"/>
                <w:szCs w:val="22"/>
                <w:lang w:val="ka-GE"/>
              </w:rPr>
              <w:t>ი</w:t>
            </w:r>
            <w:r w:rsidRPr="00A37C1D">
              <w:rPr>
                <w:rFonts w:ascii="Calibri" w:eastAsia="Arial Unicode MS" w:hAnsi="Calibri" w:cs="Calibri"/>
                <w:sz w:val="22"/>
                <w:szCs w:val="22"/>
              </w:rPr>
              <w:t xml:space="preserve">ს </w:t>
            </w:r>
            <w:proofErr w:type="spellStart"/>
            <w:r w:rsidRPr="00A37C1D">
              <w:rPr>
                <w:rFonts w:ascii="Calibri" w:eastAsia="Arial Unicode MS" w:hAnsi="Calibri" w:cs="Calibri"/>
                <w:sz w:val="22"/>
                <w:szCs w:val="22"/>
              </w:rPr>
              <w:t>ანგარიშში</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წარმოდგენილია</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მოსაზრება</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სტრატეგიულ</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დოკუმენტში</w:t>
            </w:r>
            <w:proofErr w:type="spellEnd"/>
            <w:r w:rsidRPr="00A37C1D">
              <w:rPr>
                <w:rFonts w:ascii="Calibri" w:eastAsia="Arial Unicode MS" w:hAnsi="Calibri" w:cs="Calibri"/>
                <w:sz w:val="22"/>
                <w:szCs w:val="22"/>
              </w:rPr>
              <w:t xml:space="preserve"> მოცემული ალტერნატივების შესახებ, მათ შორის, გარემოს დაცვის </w:t>
            </w:r>
            <w:proofErr w:type="spellStart"/>
            <w:r w:rsidRPr="00A37C1D">
              <w:rPr>
                <w:rFonts w:ascii="Calibri" w:eastAsia="Arial Unicode MS" w:hAnsi="Calibri" w:cs="Calibri"/>
                <w:sz w:val="22"/>
                <w:szCs w:val="22"/>
              </w:rPr>
              <w:t>კუთხითაც</w:t>
            </w:r>
            <w:proofErr w:type="spellEnd"/>
            <w:r w:rsidRPr="00A37C1D">
              <w:rPr>
                <w:rFonts w:ascii="Calibri" w:eastAsia="Arial Unicode MS" w:hAnsi="Calibri" w:cs="Calibri"/>
                <w:sz w:val="22"/>
                <w:szCs w:val="22"/>
              </w:rPr>
              <w:t xml:space="preserve">. კერძოდ, </w:t>
            </w:r>
            <w:proofErr w:type="spellStart"/>
            <w:r w:rsidRPr="00A37C1D">
              <w:rPr>
                <w:rFonts w:ascii="Calibri" w:eastAsia="Arial Unicode MS" w:hAnsi="Calibri" w:cs="Calibri"/>
                <w:sz w:val="22"/>
                <w:szCs w:val="22"/>
              </w:rPr>
              <w:t>ანგარიშში</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აღნიშნულია</w:t>
            </w:r>
            <w:proofErr w:type="spellEnd"/>
            <w:r w:rsidRPr="00A37C1D">
              <w:rPr>
                <w:rFonts w:ascii="Calibri" w:eastAsia="Arial Unicode MS" w:hAnsi="Calibri" w:cs="Calibri"/>
                <w:sz w:val="22"/>
                <w:szCs w:val="22"/>
              </w:rPr>
              <w:t xml:space="preserve">, რომ </w:t>
            </w:r>
            <w:proofErr w:type="spellStart"/>
            <w:r w:rsidRPr="00A37C1D">
              <w:rPr>
                <w:rFonts w:ascii="Calibri" w:eastAsia="Arial Unicode MS" w:hAnsi="Calibri" w:cs="Calibri"/>
                <w:sz w:val="22"/>
                <w:szCs w:val="22"/>
              </w:rPr>
              <w:t>სტრატეგიულ</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დოკუმენტში</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განსაზღვრული</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ღონისძიებებით</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ქვეყნის</w:t>
            </w:r>
            <w:proofErr w:type="spellEnd"/>
            <w:r w:rsidRPr="00A37C1D">
              <w:rPr>
                <w:rFonts w:ascii="Calibri" w:eastAsia="Arial Unicode MS" w:hAnsi="Calibri" w:cs="Calibri"/>
                <w:sz w:val="22"/>
                <w:szCs w:val="22"/>
              </w:rPr>
              <w:t xml:space="preserve"> ენერგეტიკული </w:t>
            </w:r>
            <w:proofErr w:type="spellStart"/>
            <w:r w:rsidRPr="00A37C1D">
              <w:rPr>
                <w:rFonts w:ascii="Calibri" w:eastAsia="Arial Unicode MS" w:hAnsi="Calibri" w:cs="Calibri"/>
                <w:sz w:val="22"/>
                <w:szCs w:val="22"/>
              </w:rPr>
              <w:t>უსაფრთხოების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მიზნების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გარდა</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მიიღწევა</w:t>
            </w:r>
            <w:proofErr w:type="spellEnd"/>
            <w:r w:rsidRPr="00A37C1D">
              <w:rPr>
                <w:rFonts w:ascii="Calibri" w:eastAsia="Arial Unicode MS" w:hAnsi="Calibri" w:cs="Calibri"/>
                <w:sz w:val="22"/>
                <w:szCs w:val="22"/>
              </w:rPr>
              <w:t xml:space="preserve"> საქართველოს </w:t>
            </w:r>
            <w:proofErr w:type="spellStart"/>
            <w:r w:rsidRPr="00A37C1D">
              <w:rPr>
                <w:rFonts w:ascii="Calibri" w:eastAsia="Arial Unicode MS" w:hAnsi="Calibri" w:cs="Calibri"/>
                <w:sz w:val="22"/>
                <w:szCs w:val="22"/>
              </w:rPr>
              <w:t>მიერ</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პარიზის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შეთანხმებით</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ნაკისრი</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სათბური</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აირების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ემისიების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შემცირების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ვალდებულების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შესრულება</w:t>
            </w:r>
            <w:proofErr w:type="spellEnd"/>
            <w:r w:rsidR="00AC7E68" w:rsidRPr="00A37C1D">
              <w:rPr>
                <w:rFonts w:ascii="Calibri" w:eastAsia="Arial Unicode MS" w:hAnsi="Calibri" w:cs="Calibri"/>
                <w:sz w:val="22"/>
                <w:szCs w:val="22"/>
              </w:rPr>
              <w:t xml:space="preserve"> (</w:t>
            </w:r>
            <w:r w:rsidR="00AC7E68" w:rsidRPr="00A37C1D">
              <w:rPr>
                <w:rFonts w:ascii="Calibri" w:eastAsia="Arial Unicode MS" w:hAnsi="Calibri" w:cs="Calibri"/>
                <w:sz w:val="22"/>
                <w:szCs w:val="22"/>
                <w:lang w:val="ka-GE"/>
              </w:rPr>
              <w:t>სათბური აირების ემისიის შემცირება 47%-ით 1990 წლის დონესთან შედარებით</w:t>
            </w:r>
            <w:r w:rsidR="00003FB5" w:rsidRPr="00A37C1D">
              <w:rPr>
                <w:rFonts w:ascii="Calibri" w:eastAsia="Arial Unicode MS" w:hAnsi="Calibri" w:cs="Calibri"/>
                <w:sz w:val="22"/>
                <w:szCs w:val="22"/>
                <w:lang w:val="ka-GE"/>
              </w:rPr>
              <w:t xml:space="preserve"> 2030 წლისთვის</w:t>
            </w:r>
            <w:r w:rsidR="00AC7E68" w:rsidRPr="00A37C1D">
              <w:rPr>
                <w:rFonts w:ascii="Calibri" w:eastAsia="Arial Unicode MS" w:hAnsi="Calibri" w:cs="Calibri"/>
                <w:sz w:val="22"/>
                <w:szCs w:val="22"/>
                <w:lang w:val="ka-GE"/>
              </w:rPr>
              <w:t>)</w:t>
            </w:r>
            <w:r w:rsidRPr="00A37C1D">
              <w:rPr>
                <w:rFonts w:ascii="Calibri" w:eastAsia="Arial Unicode MS" w:hAnsi="Calibri" w:cs="Calibri"/>
                <w:sz w:val="22"/>
                <w:szCs w:val="22"/>
              </w:rPr>
              <w:t xml:space="preserve"> და  2030 </w:t>
            </w:r>
            <w:proofErr w:type="spellStart"/>
            <w:r w:rsidRPr="00A37C1D">
              <w:rPr>
                <w:rFonts w:ascii="Calibri" w:eastAsia="Arial Unicode MS" w:hAnsi="Calibri" w:cs="Calibri"/>
                <w:sz w:val="22"/>
                <w:szCs w:val="22"/>
              </w:rPr>
              <w:t>წლისთვის</w:t>
            </w:r>
            <w:proofErr w:type="spellEnd"/>
            <w:r w:rsidRPr="00A37C1D">
              <w:rPr>
                <w:rFonts w:ascii="Calibri" w:eastAsia="Arial Unicode MS" w:hAnsi="Calibri" w:cs="Calibri"/>
                <w:sz w:val="22"/>
                <w:szCs w:val="22"/>
              </w:rPr>
              <w:t xml:space="preserve"> განახლებადი ენერგიის</w:t>
            </w:r>
            <w:r w:rsidR="00003FB5" w:rsidRPr="00A37C1D">
              <w:rPr>
                <w:rFonts w:ascii="Calibri" w:eastAsia="Arial Unicode MS" w:hAnsi="Calibri" w:cs="Calibri"/>
                <w:sz w:val="22"/>
                <w:szCs w:val="22"/>
                <w:lang w:val="ka-GE"/>
              </w:rPr>
              <w:t xml:space="preserve"> </w:t>
            </w:r>
            <w:r w:rsidR="00033228" w:rsidRPr="00A37C1D">
              <w:rPr>
                <w:rFonts w:ascii="Calibri" w:eastAsia="Arial Unicode MS" w:hAnsi="Calibri" w:cs="Calibri"/>
                <w:sz w:val="22"/>
                <w:szCs w:val="22"/>
                <w:lang w:val="ka-GE"/>
              </w:rPr>
              <w:t>წილის</w:t>
            </w:r>
            <w:r w:rsidR="00003FB5" w:rsidRPr="00A37C1D">
              <w:rPr>
                <w:rFonts w:ascii="Calibri" w:eastAsia="Arial Unicode MS" w:hAnsi="Calibri" w:cs="Calibri"/>
                <w:sz w:val="22"/>
                <w:szCs w:val="22"/>
                <w:lang w:val="ka-GE"/>
              </w:rPr>
              <w:t xml:space="preserve"> ენერგიის</w:t>
            </w:r>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საბოლოო</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მოხმარებ</w:t>
            </w:r>
            <w:proofErr w:type="spellEnd"/>
            <w:r w:rsidR="00033228" w:rsidRPr="00A37C1D">
              <w:rPr>
                <w:rFonts w:ascii="Calibri" w:eastAsia="Arial Unicode MS" w:hAnsi="Calibri" w:cs="Calibri"/>
                <w:sz w:val="22"/>
                <w:szCs w:val="22"/>
                <w:lang w:val="ka-GE"/>
              </w:rPr>
              <w:t>აში</w:t>
            </w:r>
            <w:r w:rsidR="00757D90" w:rsidRPr="00A37C1D">
              <w:rPr>
                <w:rFonts w:ascii="Calibri" w:eastAsia="Arial Unicode MS" w:hAnsi="Calibri" w:cs="Calibri"/>
                <w:sz w:val="22"/>
                <w:szCs w:val="22"/>
              </w:rPr>
              <w:t xml:space="preserve"> 27,</w:t>
            </w:r>
            <w:r w:rsidR="00194F2D" w:rsidRPr="00A37C1D">
              <w:rPr>
                <w:rFonts w:ascii="Calibri" w:eastAsia="Arial Unicode MS" w:hAnsi="Calibri" w:cs="Calibri"/>
                <w:sz w:val="22"/>
                <w:szCs w:val="22"/>
              </w:rPr>
              <w:t>4</w:t>
            </w:r>
            <w:r w:rsidR="00194F2D" w:rsidRPr="00A37C1D">
              <w:rPr>
                <w:rFonts w:ascii="Calibri" w:eastAsia="Arial Unicode MS" w:hAnsi="Calibri" w:cs="Calibri"/>
                <w:sz w:val="22"/>
                <w:szCs w:val="22"/>
                <w:lang w:val="ka-GE"/>
              </w:rPr>
              <w:t xml:space="preserve">%-მდე </w:t>
            </w:r>
            <w:proofErr w:type="spellStart"/>
            <w:r w:rsidRPr="00A37C1D">
              <w:rPr>
                <w:rFonts w:ascii="Calibri" w:eastAsia="Arial Unicode MS" w:hAnsi="Calibri" w:cs="Calibri"/>
                <w:sz w:val="22"/>
                <w:szCs w:val="22"/>
              </w:rPr>
              <w:t>ზრდა</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ასეთი</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ჩანაწერი</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ხაზს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უსვამს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იმას</w:t>
            </w:r>
            <w:proofErr w:type="spellEnd"/>
            <w:r w:rsidRPr="00A37C1D">
              <w:rPr>
                <w:rFonts w:ascii="Calibri" w:eastAsia="Arial Unicode MS" w:hAnsi="Calibri" w:cs="Calibri"/>
                <w:sz w:val="22"/>
                <w:szCs w:val="22"/>
              </w:rPr>
              <w:t xml:space="preserve">, რომ NECP </w:t>
            </w:r>
            <w:proofErr w:type="spellStart"/>
            <w:r w:rsidRPr="00A37C1D">
              <w:rPr>
                <w:rFonts w:ascii="Calibri" w:eastAsia="Arial Unicode MS" w:hAnsi="Calibri" w:cs="Calibri"/>
                <w:sz w:val="22"/>
                <w:szCs w:val="22"/>
              </w:rPr>
              <w:t>მიაღწევს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ენერგეტიკასთან</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დაკავშირებულ</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მიზნებს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ისე</w:t>
            </w:r>
            <w:proofErr w:type="spellEnd"/>
            <w:r w:rsidRPr="00A37C1D">
              <w:rPr>
                <w:rFonts w:ascii="Calibri" w:eastAsia="Arial Unicode MS" w:hAnsi="Calibri" w:cs="Calibri"/>
                <w:sz w:val="22"/>
                <w:szCs w:val="22"/>
              </w:rPr>
              <w:t xml:space="preserve">, რომ </w:t>
            </w:r>
            <w:r w:rsidRPr="00A37C1D">
              <w:rPr>
                <w:rFonts w:ascii="Calibri" w:eastAsia="Arial Unicode MS" w:hAnsi="Calibri" w:cs="Calibri"/>
                <w:sz w:val="22"/>
                <w:szCs w:val="22"/>
                <w:lang w:val="ka-GE"/>
              </w:rPr>
              <w:t xml:space="preserve">პარალელურად </w:t>
            </w:r>
            <w:proofErr w:type="spellStart"/>
            <w:r w:rsidRPr="00A37C1D">
              <w:rPr>
                <w:rFonts w:ascii="Calibri" w:eastAsia="Arial Unicode MS" w:hAnsi="Calibri" w:cs="Calibri"/>
                <w:sz w:val="22"/>
                <w:szCs w:val="22"/>
              </w:rPr>
              <w:t>შეესაბამებოდეს</w:t>
            </w:r>
            <w:proofErr w:type="spellEnd"/>
            <w:r w:rsidRPr="00A37C1D">
              <w:rPr>
                <w:rFonts w:ascii="Calibri" w:eastAsia="Arial Unicode MS" w:hAnsi="Calibri" w:cs="Calibri"/>
                <w:sz w:val="22"/>
                <w:szCs w:val="22"/>
              </w:rPr>
              <w:t xml:space="preserve"> საქართველოს </w:t>
            </w:r>
            <w:proofErr w:type="spellStart"/>
            <w:r w:rsidRPr="00A37C1D">
              <w:rPr>
                <w:rFonts w:ascii="Calibri" w:eastAsia="Arial Unicode MS" w:hAnsi="Calibri" w:cs="Calibri"/>
                <w:sz w:val="22"/>
                <w:szCs w:val="22"/>
              </w:rPr>
              <w:t>მიერ</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პარიზის</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შეთანხმებით</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ნაკისრ</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გარემოსდაცვით</w:t>
            </w:r>
            <w:proofErr w:type="spellEnd"/>
            <w:r w:rsidRPr="00A37C1D">
              <w:rPr>
                <w:rFonts w:ascii="Calibri" w:eastAsia="Arial Unicode MS" w:hAnsi="Calibri" w:cs="Calibri"/>
                <w:sz w:val="22"/>
                <w:szCs w:val="22"/>
              </w:rPr>
              <w:t xml:space="preserve">) </w:t>
            </w:r>
            <w:proofErr w:type="spellStart"/>
            <w:r w:rsidRPr="00A37C1D">
              <w:rPr>
                <w:rFonts w:ascii="Calibri" w:eastAsia="Arial Unicode MS" w:hAnsi="Calibri" w:cs="Calibri"/>
                <w:sz w:val="22"/>
                <w:szCs w:val="22"/>
              </w:rPr>
              <w:t>ვალდებულებებს</w:t>
            </w:r>
            <w:proofErr w:type="spellEnd"/>
            <w:r w:rsidRPr="00A37C1D">
              <w:rPr>
                <w:rFonts w:ascii="Calibri" w:eastAsia="Arial Unicode MS" w:hAnsi="Calibri" w:cs="Calibri"/>
                <w:sz w:val="22"/>
                <w:szCs w:val="22"/>
              </w:rPr>
              <w:t xml:space="preserve">.  </w:t>
            </w:r>
          </w:p>
          <w:p w14:paraId="213B6BA3" w14:textId="77777777" w:rsidR="004E4369" w:rsidRPr="00A37C1D" w:rsidRDefault="004E4369">
            <w:pPr>
              <w:pStyle w:val="HTMLPreformatted"/>
              <w:jc w:val="both"/>
              <w:rPr>
                <w:rFonts w:ascii="Calibri" w:eastAsia="Arial Unicode MS" w:hAnsi="Calibri" w:cs="Calibri"/>
                <w:sz w:val="22"/>
                <w:szCs w:val="22"/>
              </w:rPr>
            </w:pPr>
          </w:p>
          <w:p w14:paraId="1ED0BE57" w14:textId="1641034E" w:rsidR="007169D4" w:rsidRPr="00A37C1D" w:rsidRDefault="009F6C2A">
            <w:pPr>
              <w:jc w:val="both"/>
              <w:rPr>
                <w:rFonts w:ascii="Calibri" w:hAnsi="Calibri" w:cs="Calibri"/>
              </w:rPr>
            </w:pPr>
            <w:r w:rsidRPr="00A37C1D">
              <w:rPr>
                <w:rFonts w:ascii="Calibri" w:hAnsi="Calibri" w:cs="Calibri"/>
              </w:rPr>
              <w:t>რაც შეეხება მზის ელექტროსადგურების წარმოდგენას ალტერნატივად, პირველ საჯარო განხილვაზე</w:t>
            </w:r>
            <w:r w:rsidR="00346E59" w:rsidRPr="00A37C1D">
              <w:rPr>
                <w:rFonts w:ascii="Calibri" w:hAnsi="Calibri" w:cs="Calibri"/>
              </w:rPr>
              <w:t>ც</w:t>
            </w:r>
            <w:r w:rsidRPr="00A37C1D">
              <w:rPr>
                <w:rFonts w:ascii="Calibri" w:hAnsi="Calibri" w:cs="Calibri"/>
              </w:rPr>
              <w:t xml:space="preserve"> დაისვა ეს შეკითხვა. აღნიშნულს პასუხი გაეცა საქართველოს სახელმწიფო ელექტროსისტემის მიერ. მზის ელექტროსადგურს გააჩნია მნიშვნელოვანი ნაკლოვანებები პირველ და მეორე ალტერნატიულ სცენარებთან შედარებით.  ესენია არასტაბილური გენერაცია, რომელიც დღე-ღამესთან ერთად დამოკიდებულია სეზონზეც და ამინდზეც. გარდა ამისა იგივე სიმძლავრის მისაღებად საჭიროა, რომ მნიშვნელოვანი ტერიტორია დაიფაროს მზის პანელებით, რაც თავის მხრივ უფრო მეტ ზეგავლენას მოახდენს გარემოზე ვიდრე პირველი ორი ალტერნატივა. აქ</w:t>
            </w:r>
            <w:r w:rsidR="00590F65" w:rsidRPr="00A37C1D">
              <w:rPr>
                <w:rFonts w:ascii="Calibri" w:hAnsi="Calibri" w:cs="Calibri"/>
              </w:rPr>
              <w:t>ე</w:t>
            </w:r>
            <w:r w:rsidRPr="00A37C1D">
              <w:rPr>
                <w:rFonts w:ascii="Calibri" w:hAnsi="Calibri" w:cs="Calibri"/>
              </w:rPr>
              <w:t>დან გამომდინარე ალტერნატიული სცენარის განხილვა მზის სადგურების გამოყენებით არ არის გამართლებული.</w:t>
            </w:r>
            <w:r w:rsidR="00194F2D" w:rsidRPr="00A37C1D">
              <w:rPr>
                <w:rFonts w:ascii="Calibri" w:hAnsi="Calibri" w:cs="Calibri"/>
              </w:rPr>
              <w:t xml:space="preserve"> </w:t>
            </w:r>
            <w:r w:rsidR="001A64AC" w:rsidRPr="00A37C1D">
              <w:rPr>
                <w:rFonts w:ascii="Calibri" w:hAnsi="Calibri" w:cs="Calibri"/>
              </w:rPr>
              <w:t>იგივე ეხება მზის და ქარის კომბინირებულ გენერაციასაც, რომელიც ასევე არასტაბილურია</w:t>
            </w:r>
            <w:r w:rsidR="009E0A47" w:rsidRPr="00A37C1D">
              <w:rPr>
                <w:rFonts w:ascii="Calibri" w:hAnsi="Calibri" w:cs="Calibri"/>
              </w:rPr>
              <w:t>,</w:t>
            </w:r>
            <w:r w:rsidR="001D5315" w:rsidRPr="00A37C1D">
              <w:rPr>
                <w:rFonts w:ascii="Calibri" w:hAnsi="Calibri" w:cs="Calibri"/>
              </w:rPr>
              <w:t xml:space="preserve"> ცვალებადია</w:t>
            </w:r>
            <w:r w:rsidR="001A64AC" w:rsidRPr="00A37C1D">
              <w:rPr>
                <w:rFonts w:ascii="Calibri" w:hAnsi="Calibri" w:cs="Calibri"/>
              </w:rPr>
              <w:t xml:space="preserve"> და ქსელის მდგრადობას ვერ უზრუნველყოფს.</w:t>
            </w:r>
          </w:p>
          <w:p w14:paraId="57467B6B" w14:textId="77777777" w:rsidR="007169D4" w:rsidRPr="00A37C1D" w:rsidRDefault="007169D4">
            <w:pPr>
              <w:jc w:val="both"/>
              <w:rPr>
                <w:rFonts w:ascii="Calibri" w:hAnsi="Calibri" w:cs="Calibri"/>
              </w:rPr>
            </w:pPr>
          </w:p>
          <w:p w14:paraId="5296D41B" w14:textId="3F38E7A2" w:rsidR="009F6C2A" w:rsidRPr="00A37C1D" w:rsidRDefault="00C80E41">
            <w:pPr>
              <w:jc w:val="both"/>
              <w:rPr>
                <w:rFonts w:ascii="Calibri" w:hAnsi="Calibri" w:cs="Calibri"/>
                <w:lang w:val="en-US"/>
              </w:rPr>
            </w:pPr>
            <w:r w:rsidRPr="00A37C1D">
              <w:rPr>
                <w:rFonts w:ascii="Calibri" w:hAnsi="Calibri" w:cs="Calibri"/>
              </w:rPr>
              <w:t xml:space="preserve">აქვე უნდა აღინიშნოს, რომ კალკულაციებში </w:t>
            </w:r>
            <w:r w:rsidR="001A64AC" w:rsidRPr="00A37C1D">
              <w:rPr>
                <w:rFonts w:ascii="Calibri" w:hAnsi="Calibri" w:cs="Calibri"/>
              </w:rPr>
              <w:t xml:space="preserve">ყველა ალტერნატიული კომბინაცია, მათ შორის საუკეთესო ვარიანტები კი წარმოდგენილია დოკუმენტში ალტერნატიულ სცენარებად. </w:t>
            </w:r>
            <w:r w:rsidR="00194F2D" w:rsidRPr="00A37C1D">
              <w:rPr>
                <w:rFonts w:ascii="Calibri" w:hAnsi="Calibri" w:cs="Calibri"/>
              </w:rPr>
              <w:t>დოკუმენტის საბოლოო ვერსიაში მეტი სიცხადისთვის მოხდება ამ განმარტების გაკეთებაც.</w:t>
            </w:r>
          </w:p>
          <w:p w14:paraId="0E61CB52" w14:textId="09985AE0" w:rsidR="004E4369" w:rsidRPr="00A37C1D" w:rsidRDefault="004E4369">
            <w:pPr>
              <w:pStyle w:val="HTMLPreformatted"/>
              <w:jc w:val="both"/>
              <w:rPr>
                <w:rFonts w:ascii="Calibri" w:hAnsi="Calibri" w:cs="Calibri"/>
                <w:color w:val="FF0000"/>
                <w:sz w:val="22"/>
                <w:szCs w:val="22"/>
              </w:rPr>
            </w:pPr>
          </w:p>
          <w:p w14:paraId="1BBFDC1D" w14:textId="3C5AFF16" w:rsidR="004E4369" w:rsidRPr="00A37C1D" w:rsidRDefault="004E4369">
            <w:pPr>
              <w:pStyle w:val="HTMLPreformatted"/>
              <w:ind w:left="360" w:hanging="360"/>
              <w:jc w:val="both"/>
              <w:rPr>
                <w:rFonts w:ascii="Calibri" w:hAnsi="Calibri" w:cs="Calibri"/>
                <w:sz w:val="22"/>
                <w:szCs w:val="22"/>
              </w:rPr>
            </w:pPr>
          </w:p>
        </w:tc>
        <w:bookmarkStart w:id="0" w:name="_GoBack"/>
        <w:bookmarkEnd w:id="0"/>
      </w:tr>
      <w:tr w:rsidR="004E4369" w:rsidRPr="00A37C1D" w14:paraId="7C768692" w14:textId="77777777" w:rsidTr="00346E59">
        <w:tc>
          <w:tcPr>
            <w:tcW w:w="562" w:type="dxa"/>
          </w:tcPr>
          <w:p w14:paraId="0B97B6F2" w14:textId="1BF1C092" w:rsidR="004E4369" w:rsidRPr="00A37C1D" w:rsidRDefault="004E4369">
            <w:pPr>
              <w:pStyle w:val="ListParagraph"/>
              <w:numPr>
                <w:ilvl w:val="0"/>
                <w:numId w:val="7"/>
              </w:numPr>
              <w:rPr>
                <w:rFonts w:ascii="Calibri" w:hAnsi="Calibri" w:cs="Calibri"/>
              </w:rPr>
            </w:pPr>
          </w:p>
        </w:tc>
        <w:tc>
          <w:tcPr>
            <w:tcW w:w="5528" w:type="dxa"/>
          </w:tcPr>
          <w:p w14:paraId="337B9715" w14:textId="77777777" w:rsidR="004E4369" w:rsidRPr="00A37C1D" w:rsidRDefault="004E4369">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 xml:space="preserve">სგშ-ის ანგარიშში მითითებულ მონიტორინგის ჩარჩოსთან (ცხრილი 14) დაკავშირებით გაცნობებთ, რომ მონიტორინგს უნდა დაექვემდებაროს დოკუმენტაციაში განხილული გარემოსთან დაკავშირებული ძირითადი საკითხები და, შესაბამისად, მნიშვნელოვანი ზემოქმედებები. რაც არ არის ასახული წარმოდგენილ მონიტორინგის გეგმაში, ასევე საჭიროა დაზუსტდეს მონიტორინგზე პასუხისმგებელი ორგანოები; </w:t>
            </w:r>
          </w:p>
          <w:p w14:paraId="56521B4F" w14:textId="77777777" w:rsidR="004E4369" w:rsidRPr="00A37C1D" w:rsidRDefault="004E4369">
            <w:pPr>
              <w:jc w:val="both"/>
              <w:rPr>
                <w:rFonts w:ascii="Calibri" w:hAnsi="Calibri" w:cs="Calibri"/>
                <w:lang w:val="en-US"/>
              </w:rPr>
            </w:pPr>
          </w:p>
        </w:tc>
        <w:tc>
          <w:tcPr>
            <w:tcW w:w="8363" w:type="dxa"/>
          </w:tcPr>
          <w:p w14:paraId="288AEAEC" w14:textId="572885FA" w:rsidR="004E4369" w:rsidRPr="00A37C1D" w:rsidRDefault="004E4369">
            <w:pPr>
              <w:jc w:val="both"/>
              <w:rPr>
                <w:rFonts w:ascii="Calibri" w:hAnsi="Calibri" w:cs="Calibri"/>
              </w:rPr>
            </w:pPr>
            <w:r w:rsidRPr="00A37C1D">
              <w:rPr>
                <w:rFonts w:ascii="Calibri" w:hAnsi="Calibri" w:cs="Calibri"/>
              </w:rPr>
              <w:t xml:space="preserve">მონიტორინგის ცხრილში მითითებულია რა უნდა დაექვემდებაროს მონიტორინგს, ვინ უნდა ჩაატაროს მონიტორინგი (ვინ არის პასუხისმგებელი), ინდიკატორები და აღწერა. კონკრეტული ზემოქმედება გარემოს კომპონენტებზე წარმოდგენილია თვითონ დოკუმენტში. აუცილებელია, რომ მონიტორინგს დაქვემდებარებულ კონკრეტულ საკითხზე პასუხისმგებელმა ორგანომ  გამოიყენოს ეს ინფორმაცია, რათა განსაზღვროს კონკრეტული პროექტების განხორციელების მონიტორინგის საჭიროებები  და რაც მნიშვნელოვანია, გაითვალისწინოს აღნიშნული ინფორმაცია კონკრეტული პროექტის გზშ-ის განხილვისა და განხორციელების პროცესში. </w:t>
            </w:r>
          </w:p>
          <w:p w14:paraId="6220F365" w14:textId="77777777" w:rsidR="004E4369" w:rsidRPr="00A37C1D" w:rsidRDefault="004E4369">
            <w:pPr>
              <w:jc w:val="both"/>
              <w:rPr>
                <w:rFonts w:ascii="Calibri" w:hAnsi="Calibri" w:cs="Calibri"/>
                <w:lang w:val="en-US"/>
              </w:rPr>
            </w:pPr>
          </w:p>
          <w:p w14:paraId="48D12061" w14:textId="77777777" w:rsidR="00107491" w:rsidRPr="00A37C1D" w:rsidRDefault="00107491">
            <w:pPr>
              <w:jc w:val="both"/>
              <w:rPr>
                <w:rFonts w:ascii="Calibri" w:hAnsi="Calibri" w:cs="Calibri"/>
                <w:lang w:val="en-US"/>
              </w:rPr>
            </w:pPr>
          </w:p>
          <w:p w14:paraId="2768D9C1" w14:textId="25264927" w:rsidR="00107491" w:rsidRPr="00A37C1D" w:rsidRDefault="00107491">
            <w:pPr>
              <w:jc w:val="both"/>
              <w:rPr>
                <w:rFonts w:ascii="Calibri" w:hAnsi="Calibri" w:cs="Calibri"/>
                <w:lang w:val="en-US"/>
              </w:rPr>
            </w:pPr>
          </w:p>
        </w:tc>
      </w:tr>
      <w:tr w:rsidR="004E4369" w:rsidRPr="00A37C1D" w14:paraId="10BE22C1" w14:textId="77777777" w:rsidTr="00346E59">
        <w:tc>
          <w:tcPr>
            <w:tcW w:w="562" w:type="dxa"/>
          </w:tcPr>
          <w:p w14:paraId="6A15777D" w14:textId="77777777" w:rsidR="004E4369" w:rsidRPr="00A37C1D" w:rsidRDefault="004E4369">
            <w:pPr>
              <w:pStyle w:val="ListParagraph"/>
              <w:numPr>
                <w:ilvl w:val="0"/>
                <w:numId w:val="7"/>
              </w:numPr>
              <w:rPr>
                <w:rFonts w:ascii="Calibri" w:hAnsi="Calibri" w:cs="Calibri"/>
              </w:rPr>
            </w:pPr>
          </w:p>
        </w:tc>
        <w:tc>
          <w:tcPr>
            <w:tcW w:w="5528" w:type="dxa"/>
          </w:tcPr>
          <w:p w14:paraId="60E8582E" w14:textId="77777777" w:rsidR="00316B32" w:rsidRPr="00A37C1D" w:rsidRDefault="004E4369">
            <w:pPr>
              <w:jc w:val="both"/>
              <w:rPr>
                <w:rFonts w:ascii="Calibri" w:eastAsia="Arial Unicode MS" w:hAnsi="Calibri" w:cs="Calibri"/>
              </w:rPr>
            </w:pPr>
            <w:r w:rsidRPr="00A37C1D">
              <w:rPr>
                <w:rFonts w:ascii="Calibri" w:eastAsia="Arial Unicode MS" w:hAnsi="Calibri" w:cs="Calibri"/>
              </w:rPr>
              <w:t xml:space="preserve">დოკუმენტში სრულფასოვნად არ არის განხილული ადრეულ სტადიაზე ენერგეტიკული პროექტის დაგეგმვის დეტალები, მაგალითად: ამგვარი დაგეგმვის ერთ-ერთი დამკვიდრებული პრაქტიკა და მექანიზმი, როგორიცაა ენერგეტიკული ობიექტების პროექტების ინიცირების პროცესში წინასწარ, ბიომრავალფეროვნებასთან დაკავშირებული შეფასებების გარეშე, მემორანდუმების გაფორმების თაობაზე. აღნიშნული ხშირ შემთხვევაში პირდაპირ კავშირშია გზშ-ის ხარისხთან, რომლის ხარისხის ამაღლება, უმეტეს შემთხვევაში, მემორანდუმით გათვალისწინებული დროის გაზრდას გულისხმობს, სრულფასოვანი კვლევების ჩატარებისათვის საჭირო უფრო მეტი დროის საჭიროების გათვალისწინებით. აღნიშნული ასევე ეხება იმგვარ დაცულ ტერიტორიებზე ზემოქმედების შეფასებას, როგორიცაა ზურმუხტის ქსელი (ე.წ. ზზშ). </w:t>
            </w:r>
          </w:p>
          <w:p w14:paraId="27516C1C" w14:textId="77777777" w:rsidR="00316B32" w:rsidRPr="00A37C1D" w:rsidRDefault="00316B32">
            <w:pPr>
              <w:jc w:val="both"/>
              <w:rPr>
                <w:rFonts w:ascii="Calibri" w:eastAsia="Arial Unicode MS" w:hAnsi="Calibri" w:cs="Calibri"/>
              </w:rPr>
            </w:pPr>
          </w:p>
          <w:p w14:paraId="40864808" w14:textId="4C8BB952" w:rsidR="004E4369" w:rsidRPr="00A37C1D" w:rsidRDefault="004E4369">
            <w:pPr>
              <w:jc w:val="both"/>
              <w:rPr>
                <w:rFonts w:ascii="Calibri" w:eastAsia="Merriweather" w:hAnsi="Calibri" w:cs="Calibri"/>
              </w:rPr>
            </w:pPr>
            <w:r w:rsidRPr="00A37C1D">
              <w:rPr>
                <w:rFonts w:ascii="Calibri" w:eastAsia="Arial Unicode MS" w:hAnsi="Calibri" w:cs="Calibri"/>
              </w:rPr>
              <w:t xml:space="preserve">საჭიროა წარმოდგენილ იქნეს დამატებითი ინფორმაცია, სადაც უფრო დეტალურად იქნება </w:t>
            </w:r>
            <w:r w:rsidRPr="00A37C1D">
              <w:rPr>
                <w:rFonts w:ascii="Calibri" w:eastAsia="Arial Unicode MS" w:hAnsi="Calibri" w:cs="Calibri"/>
              </w:rPr>
              <w:lastRenderedPageBreak/>
              <w:t xml:space="preserve">განხილული და შეფასებული მემორანდუმების მომზადებისა და გაფორმების პროცესში წინასწარ დაგეგმვის, მათ შორის გზშ-სა და ზზშ-ს ხარისხის გაზრდის ასპექტები და შემოთავაზებული პრობლემის გადაჭრის გზები. </w:t>
            </w:r>
          </w:p>
          <w:p w14:paraId="5495D857" w14:textId="77777777" w:rsidR="004E4369" w:rsidRPr="00A37C1D" w:rsidRDefault="004E4369">
            <w:pPr>
              <w:jc w:val="both"/>
              <w:rPr>
                <w:rFonts w:ascii="Calibri" w:hAnsi="Calibri" w:cs="Calibri"/>
                <w:lang w:val="en-US"/>
              </w:rPr>
            </w:pPr>
          </w:p>
        </w:tc>
        <w:tc>
          <w:tcPr>
            <w:tcW w:w="8363" w:type="dxa"/>
          </w:tcPr>
          <w:p w14:paraId="1EED4E80" w14:textId="48A89BF7" w:rsidR="00316B32" w:rsidRPr="00A37C1D" w:rsidRDefault="00316B32">
            <w:pPr>
              <w:jc w:val="both"/>
              <w:rPr>
                <w:rFonts w:ascii="Calibri" w:hAnsi="Calibri" w:cs="Calibri"/>
              </w:rPr>
            </w:pPr>
            <w:r w:rsidRPr="00A37C1D">
              <w:rPr>
                <w:rFonts w:ascii="Calibri" w:hAnsi="Calibri" w:cs="Calibri"/>
              </w:rPr>
              <w:lastRenderedPageBreak/>
              <w:t>გარემოზე ზემოქმედების ანგარიშის ჩატარების საჭიროება რეგულირდება საქართველოს  ,,გარემოსდაცვითი შეფასების კოდექსით“.  კონკრეტულად რა კვლევები უნდა განხორციელდეს გარემოზე ზემოქმედების შეფასებისთვის ვლინდება სკოპინგის ეტაპზე</w:t>
            </w:r>
            <w:r w:rsidR="009E0A47" w:rsidRPr="00A37C1D">
              <w:rPr>
                <w:rFonts w:ascii="Calibri" w:hAnsi="Calibri" w:cs="Calibri"/>
              </w:rPr>
              <w:t>.</w:t>
            </w:r>
            <w:r w:rsidRPr="00A37C1D">
              <w:rPr>
                <w:rFonts w:ascii="Calibri" w:hAnsi="Calibri" w:cs="Calibri"/>
              </w:rPr>
              <w:t xml:space="preserve"> შესაბამისად</w:t>
            </w:r>
            <w:r w:rsidR="009E0A47" w:rsidRPr="00A37C1D">
              <w:rPr>
                <w:rFonts w:ascii="Calibri" w:hAnsi="Calibri" w:cs="Calibri"/>
              </w:rPr>
              <w:t>,</w:t>
            </w:r>
            <w:r w:rsidRPr="00A37C1D">
              <w:rPr>
                <w:rFonts w:ascii="Calibri" w:hAnsi="Calibri" w:cs="Calibri"/>
              </w:rPr>
              <w:t xml:space="preserve"> დავალების, შეფასებისა  და შემდგომ გარემოსდაცვითი გადაწყვეტილების აქტის გამოცემის პროცესში საქართველოს ეკონომიკისა  და მდგრადი განვითარების სამინისტრო მონაწილეობას არ იღებს. აქედან გამომდინარე გზშ-ს და ზზშ-ს ხარისხის შეფასების ასპექტები სცდება </w:t>
            </w:r>
            <w:r w:rsidR="00FB6EB5" w:rsidRPr="00A37C1D">
              <w:rPr>
                <w:rFonts w:ascii="Calibri" w:hAnsi="Calibri" w:cs="Calibri"/>
              </w:rPr>
              <w:t xml:space="preserve">ეკონომიკის სამინისტროს </w:t>
            </w:r>
            <w:r w:rsidRPr="00A37C1D">
              <w:rPr>
                <w:rFonts w:ascii="Calibri" w:hAnsi="Calibri" w:cs="Calibri"/>
              </w:rPr>
              <w:t xml:space="preserve"> კომპეტენციას.</w:t>
            </w:r>
          </w:p>
          <w:p w14:paraId="609086E9" w14:textId="4843F0B7" w:rsidR="00316B32" w:rsidRPr="00A37C1D" w:rsidRDefault="00316B32">
            <w:pPr>
              <w:jc w:val="both"/>
              <w:rPr>
                <w:rFonts w:ascii="Calibri" w:hAnsi="Calibri" w:cs="Calibri"/>
              </w:rPr>
            </w:pPr>
          </w:p>
          <w:p w14:paraId="71767664" w14:textId="72AE2D6C" w:rsidR="002F2B5D" w:rsidRPr="00A37C1D" w:rsidRDefault="00324462">
            <w:pPr>
              <w:jc w:val="both"/>
              <w:rPr>
                <w:rFonts w:ascii="Calibri" w:hAnsi="Calibri" w:cs="Calibri"/>
              </w:rPr>
            </w:pPr>
            <w:r w:rsidRPr="00A37C1D">
              <w:rPr>
                <w:rFonts w:ascii="Calibri" w:hAnsi="Calibri" w:cs="Calibri"/>
              </w:rPr>
              <w:t xml:space="preserve">რაც შეეხება წინარე ტექნიკურ-ეკონომიკური კვლევას, რომელიც წარედგინება ეკონომიკისა და მდგრადი განვითარების სამინისტროს  ხელშეკრულების გაფორმების მიზნით, აღნიშნული კვლევის მიზანია ხელშეკრულების გაფორმება საქართველოს მთავრობასთან. ხელშეკრულება ფორმდება პროექტი ტექნიკურ-ეკონომიკურ შესწავლაზე, შემდგომში მშენებლობის, ფლობისა და ოპერირების მიზნით. აღნიშნული ხელშეკრულების საფუძველზე კომპანიას ეძლევა ექსკლუზიური უფლება წინარე კვლევის არეალზე განახორციელოს ხელშეკრულების </w:t>
            </w:r>
            <w:r w:rsidR="002F25B3" w:rsidRPr="00A37C1D">
              <w:rPr>
                <w:rFonts w:ascii="Calibri" w:hAnsi="Calibri" w:cs="Calibri"/>
              </w:rPr>
              <w:t xml:space="preserve">შესაბამისი </w:t>
            </w:r>
            <w:r w:rsidRPr="00A37C1D">
              <w:rPr>
                <w:rFonts w:ascii="Calibri" w:hAnsi="Calibri" w:cs="Calibri"/>
              </w:rPr>
              <w:t>დანართი</w:t>
            </w:r>
            <w:r w:rsidR="002F25B3" w:rsidRPr="00A37C1D">
              <w:rPr>
                <w:rFonts w:ascii="Calibri" w:hAnsi="Calibri" w:cs="Calibri"/>
              </w:rPr>
              <w:t>თ</w:t>
            </w:r>
            <w:r w:rsidRPr="00A37C1D">
              <w:rPr>
                <w:rFonts w:ascii="Calibri" w:hAnsi="Calibri" w:cs="Calibri"/>
              </w:rPr>
              <w:t xml:space="preserve">  განსაზღვრული კვლევები. აქედან გამომდინარე, რთულია კომპანიას მო</w:t>
            </w:r>
            <w:r w:rsidR="00880636" w:rsidRPr="00A37C1D">
              <w:rPr>
                <w:rFonts w:ascii="Calibri" w:hAnsi="Calibri" w:cs="Calibri"/>
              </w:rPr>
              <w:t>ეთხოვოს</w:t>
            </w:r>
            <w:r w:rsidRPr="00A37C1D">
              <w:rPr>
                <w:rFonts w:ascii="Calibri" w:hAnsi="Calibri" w:cs="Calibri"/>
              </w:rPr>
              <w:t xml:space="preserve"> </w:t>
            </w:r>
            <w:proofErr w:type="spellStart"/>
            <w:r w:rsidRPr="00A37C1D">
              <w:rPr>
                <w:rFonts w:ascii="Calibri" w:hAnsi="Calibri" w:cs="Calibri"/>
              </w:rPr>
              <w:t>წინსწრებით</w:t>
            </w:r>
            <w:proofErr w:type="spellEnd"/>
            <w:r w:rsidRPr="00A37C1D">
              <w:rPr>
                <w:rFonts w:ascii="Calibri" w:hAnsi="Calibri" w:cs="Calibri"/>
              </w:rPr>
              <w:t xml:space="preserve"> განახორციელოს გზშ წინასწარ შეფასებულ საპროექტო არეალზე, რაზეც წინასწარ არ გააჩნია არც ხელშეკრულება და არც უფლება კვლევების განხორციელებაზე. აქვე აღსანიშნავია, რომ ხელშეკრულების </w:t>
            </w:r>
            <w:r w:rsidRPr="00A37C1D">
              <w:rPr>
                <w:rFonts w:ascii="Calibri" w:hAnsi="Calibri" w:cs="Calibri"/>
              </w:rPr>
              <w:lastRenderedPageBreak/>
              <w:t>გაფორმება არ ნიშნავს პროექტის მშენებლობის ნებართვას, არამედ საპროექტო არეალზე შესწავლის ჩატარების უფლებას</w:t>
            </w:r>
            <w:r w:rsidR="009E0A47" w:rsidRPr="00A37C1D">
              <w:rPr>
                <w:rFonts w:ascii="Calibri" w:hAnsi="Calibri" w:cs="Calibri"/>
              </w:rPr>
              <w:t>.</w:t>
            </w:r>
            <w:r w:rsidRPr="00A37C1D">
              <w:rPr>
                <w:rFonts w:ascii="Calibri" w:hAnsi="Calibri" w:cs="Calibri"/>
              </w:rPr>
              <w:t xml:space="preserve"> იმ შემთხვევაში თუ კვლევები აჩვენებს, რომ პროექტი არის ტექნიკურ-ეკონომიკურად მიზანშეწონილი და ასევე, კომპანია კანონმდებლობის შესაბამისად მოიპოვებს დადებით გარემოს დაცვით გადაწყვეტილებას შესაბამისი კომპეტენტური უწყებიდან, ელექტროსადგურის მშენებლობის თაობაზე წინადადება წარედგინება საქართველოს მთავრობას, რის შემდგომაც შესაბამისი განკარგულების გამოცემით გადაწყდება პროექტის შემდგომი განვითარების საკითხი.</w:t>
            </w:r>
            <w:r w:rsidR="007F6863" w:rsidRPr="00A37C1D">
              <w:rPr>
                <w:rFonts w:ascii="Calibri" w:hAnsi="Calibri" w:cs="Calibri"/>
                <w:lang w:val="en-US"/>
              </w:rPr>
              <w:t xml:space="preserve"> </w:t>
            </w:r>
            <w:r w:rsidR="007F6863" w:rsidRPr="00A37C1D">
              <w:rPr>
                <w:rFonts w:ascii="Calibri" w:hAnsi="Calibri" w:cs="Calibri"/>
              </w:rPr>
              <w:t>ამასთან უნდა აღინიშნოს, რომ საკითხი საკმაოდ აქტიუალურია და  სამომავლოდ მოხდება მისი განხილვა.</w:t>
            </w:r>
          </w:p>
          <w:p w14:paraId="7FA8FB50" w14:textId="10E9488A" w:rsidR="00316B32" w:rsidRPr="00A37C1D" w:rsidRDefault="00316B32">
            <w:pPr>
              <w:jc w:val="both"/>
              <w:rPr>
                <w:rFonts w:ascii="Calibri" w:hAnsi="Calibri" w:cs="Calibri"/>
              </w:rPr>
            </w:pPr>
          </w:p>
        </w:tc>
      </w:tr>
      <w:tr w:rsidR="004E4369" w:rsidRPr="00A37C1D" w14:paraId="473C84E8" w14:textId="77777777" w:rsidTr="00346E59">
        <w:tc>
          <w:tcPr>
            <w:tcW w:w="562" w:type="dxa"/>
          </w:tcPr>
          <w:p w14:paraId="1FA871BB" w14:textId="77777777" w:rsidR="004E4369" w:rsidRPr="00A37C1D" w:rsidRDefault="004E4369">
            <w:pPr>
              <w:pStyle w:val="ListParagraph"/>
              <w:numPr>
                <w:ilvl w:val="0"/>
                <w:numId w:val="7"/>
              </w:numPr>
              <w:rPr>
                <w:rFonts w:ascii="Calibri" w:hAnsi="Calibri" w:cs="Calibri"/>
              </w:rPr>
            </w:pPr>
          </w:p>
        </w:tc>
        <w:tc>
          <w:tcPr>
            <w:tcW w:w="5528" w:type="dxa"/>
          </w:tcPr>
          <w:p w14:paraId="52BBE498" w14:textId="77777777" w:rsidR="004E4369" w:rsidRPr="00A37C1D" w:rsidRDefault="004E4369">
            <w:pPr>
              <w:pBdr>
                <w:top w:val="nil"/>
                <w:left w:val="nil"/>
                <w:bottom w:val="nil"/>
                <w:right w:val="nil"/>
                <w:between w:val="nil"/>
              </w:pBdr>
              <w:jc w:val="both"/>
              <w:rPr>
                <w:rFonts w:ascii="Calibri" w:hAnsi="Calibri" w:cs="Calibri"/>
              </w:rPr>
            </w:pPr>
            <w:r w:rsidRPr="00A37C1D">
              <w:rPr>
                <w:rFonts w:ascii="Calibri" w:eastAsia="Arial Unicode MS" w:hAnsi="Calibri" w:cs="Calibri"/>
              </w:rPr>
              <w:t>სგშ-ის ანგარიშში არ არის განხილული საქართველოს ენერგეტიკისა და კლიმატის ეროვნულ ინტეგრირებულ გეგმაში მითითებული ყველა პროექტი/ობიექტი;</w:t>
            </w:r>
          </w:p>
          <w:p w14:paraId="1C1FD2B3" w14:textId="77777777" w:rsidR="004E4369" w:rsidRPr="00A37C1D" w:rsidRDefault="004E4369">
            <w:pPr>
              <w:pBdr>
                <w:top w:val="nil"/>
                <w:left w:val="nil"/>
                <w:bottom w:val="nil"/>
                <w:right w:val="nil"/>
                <w:between w:val="nil"/>
              </w:pBdr>
              <w:jc w:val="both"/>
              <w:rPr>
                <w:rFonts w:ascii="Calibri" w:eastAsia="Arial Unicode MS" w:hAnsi="Calibri" w:cs="Calibri"/>
              </w:rPr>
            </w:pPr>
          </w:p>
        </w:tc>
        <w:tc>
          <w:tcPr>
            <w:tcW w:w="8363" w:type="dxa"/>
          </w:tcPr>
          <w:p w14:paraId="67B1084A" w14:textId="78F2471F" w:rsidR="004E4369" w:rsidRPr="00A37C1D" w:rsidRDefault="00B3358C">
            <w:pPr>
              <w:jc w:val="both"/>
              <w:rPr>
                <w:rFonts w:ascii="Calibri" w:hAnsi="Calibri" w:cs="Calibri"/>
              </w:rPr>
            </w:pPr>
            <w:r w:rsidRPr="00A37C1D">
              <w:rPr>
                <w:rFonts w:ascii="Calibri" w:hAnsi="Calibri" w:cs="Calibri"/>
              </w:rPr>
              <w:t>„</w:t>
            </w:r>
            <w:r w:rsidR="004E4369" w:rsidRPr="00A37C1D">
              <w:rPr>
                <w:rFonts w:ascii="Calibri" w:hAnsi="Calibri" w:cs="Calibri"/>
              </w:rPr>
              <w:t>გარემოსდაცვითი</w:t>
            </w:r>
            <w:r w:rsidRPr="00A37C1D">
              <w:rPr>
                <w:rFonts w:ascii="Calibri" w:hAnsi="Calibri" w:cs="Calibri"/>
              </w:rPr>
              <w:t xml:space="preserve"> შეფასების</w:t>
            </w:r>
            <w:r w:rsidR="004E4369" w:rsidRPr="00A37C1D">
              <w:rPr>
                <w:rFonts w:ascii="Calibri" w:hAnsi="Calibri" w:cs="Calibri"/>
              </w:rPr>
              <w:t xml:space="preserve"> კოდექსის</w:t>
            </w:r>
            <w:r w:rsidRPr="00A37C1D">
              <w:rPr>
                <w:rFonts w:ascii="Calibri" w:hAnsi="Calibri" w:cs="Calibri"/>
              </w:rPr>
              <w:t>“</w:t>
            </w:r>
            <w:r w:rsidR="004E4369" w:rsidRPr="00A37C1D">
              <w:rPr>
                <w:rFonts w:ascii="Calibri" w:hAnsi="Calibri" w:cs="Calibri"/>
              </w:rPr>
              <w:t xml:space="preserve"> შესაბამისად, სკოპინგის ეტაპზე განისაზღვრა საქართველოს ენერგეტიკისა და კლიმატის ეროვნულ ინტეგრირებულ გეგმაში მითითებული ის პროექტები და ობიექტები,  რომელთა ზემოქმედება  შეიძლება იყოს „მნიშვნელოვანი“ და „ძალიან მნიშვნელოვანი“. შესაბამისად,  სგშ-ის ანგარიშში განხილული </w:t>
            </w:r>
            <w:r w:rsidR="00BE7F8B" w:rsidRPr="00A37C1D">
              <w:rPr>
                <w:rFonts w:ascii="Calibri" w:hAnsi="Calibri" w:cs="Calibri"/>
              </w:rPr>
              <w:t xml:space="preserve">იქნა მხოლოდ </w:t>
            </w:r>
            <w:r w:rsidR="004E4369" w:rsidRPr="00A37C1D">
              <w:rPr>
                <w:rFonts w:ascii="Calibri" w:hAnsi="Calibri" w:cs="Calibri"/>
              </w:rPr>
              <w:t xml:space="preserve">ის ღონისძიებები, რომელთა ზემოქმედება გარემოსა და ჯანმრთელობაზე </w:t>
            </w:r>
            <w:r w:rsidR="00BE7F8B" w:rsidRPr="00A37C1D">
              <w:rPr>
                <w:rFonts w:ascii="Calibri" w:hAnsi="Calibri" w:cs="Calibri"/>
              </w:rPr>
              <w:t xml:space="preserve">მიჩნეულ იქნა </w:t>
            </w:r>
            <w:r w:rsidR="004E4369" w:rsidRPr="00A37C1D">
              <w:rPr>
                <w:rFonts w:ascii="Calibri" w:hAnsi="Calibri" w:cs="Calibri"/>
              </w:rPr>
              <w:t xml:space="preserve"> </w:t>
            </w:r>
            <w:r w:rsidR="00BE7F8B" w:rsidRPr="00A37C1D">
              <w:rPr>
                <w:rFonts w:ascii="Calibri" w:hAnsi="Calibri" w:cs="Calibri"/>
              </w:rPr>
              <w:t xml:space="preserve">მნიშვნელოვნად ან ძალიან მნიშვნელოვნად. აღასანიშნავია ისიც, პროექტები, რომლებიც არ მოხვდა სგშ-ის ანგარიშში, მაინც დაექვემდებარებიან გზშ-ის პროცედურას გარემოსდაცვითი კოდექსის მოთხოვნების შესაბამისად.  </w:t>
            </w:r>
          </w:p>
          <w:p w14:paraId="76D0BF44" w14:textId="77777777" w:rsidR="004E4369" w:rsidRPr="00A37C1D" w:rsidRDefault="004E4369">
            <w:pPr>
              <w:jc w:val="both"/>
              <w:rPr>
                <w:rFonts w:ascii="Calibri" w:hAnsi="Calibri" w:cs="Calibri"/>
              </w:rPr>
            </w:pPr>
          </w:p>
          <w:p w14:paraId="4BD5DAC1" w14:textId="5C5CCD7E" w:rsidR="00DF4B33" w:rsidRPr="00A37C1D" w:rsidRDefault="00DF4B33">
            <w:pPr>
              <w:jc w:val="both"/>
              <w:rPr>
                <w:rFonts w:ascii="Calibri" w:hAnsi="Calibri" w:cs="Calibri"/>
              </w:rPr>
            </w:pPr>
            <w:r w:rsidRPr="00A37C1D">
              <w:rPr>
                <w:rFonts w:ascii="Calibri" w:hAnsi="Calibri" w:cs="Calibri"/>
              </w:rPr>
              <w:t>ამასთან დოკუმენტი მოიცავს ისეთ პროექტებს, რომლის სტატუსიც განსაზღვრულია როგორც „პოტენციური“  საჭირო ენერგიაზე მოთხოვნის დასაკმაყოფილებლად თუ სხვა რიგი მიზნებისთვის. ასეთ შემთხვევაში  მოცემული</w:t>
            </w:r>
            <w:r w:rsidR="00880636" w:rsidRPr="00A37C1D">
              <w:rPr>
                <w:rFonts w:ascii="Calibri" w:hAnsi="Calibri" w:cs="Calibri"/>
              </w:rPr>
              <w:t>ა</w:t>
            </w:r>
            <w:r w:rsidRPr="00A37C1D">
              <w:rPr>
                <w:rFonts w:ascii="Calibri" w:hAnsi="Calibri" w:cs="Calibri"/>
              </w:rPr>
              <w:t xml:space="preserve"> ტექნიკური პარამეტრები რომელიც </w:t>
            </w:r>
            <w:r w:rsidR="00880636" w:rsidRPr="00A37C1D">
              <w:rPr>
                <w:rFonts w:ascii="Calibri" w:hAnsi="Calibri" w:cs="Calibri"/>
              </w:rPr>
              <w:t>საჭიროა</w:t>
            </w:r>
            <w:r w:rsidRPr="00A37C1D">
              <w:rPr>
                <w:rFonts w:ascii="Calibri" w:hAnsi="Calibri" w:cs="Calibri"/>
              </w:rPr>
              <w:t>, თუმცა არ არის განსაზღვრული კონკრეტული პროექტი</w:t>
            </w:r>
            <w:r w:rsidR="00356A89" w:rsidRPr="00A37C1D">
              <w:rPr>
                <w:rFonts w:ascii="Calibri" w:hAnsi="Calibri" w:cs="Calibri"/>
              </w:rPr>
              <w:t>,</w:t>
            </w:r>
            <w:r w:rsidRPr="00A37C1D">
              <w:rPr>
                <w:rFonts w:ascii="Calibri" w:hAnsi="Calibri" w:cs="Calibri"/>
              </w:rPr>
              <w:t xml:space="preserve"> სადაც მსგავსი პარამეტრების მქონე ელექტროსადგურის მშენებლობა შეიძლება განხორციელდეს. მაგალითად: NECP -ის სცენარის მიხედვით </w:t>
            </w:r>
            <w:r w:rsidR="00880636" w:rsidRPr="00A37C1D">
              <w:rPr>
                <w:rFonts w:ascii="Calibri" w:hAnsi="Calibri" w:cs="Calibri"/>
              </w:rPr>
              <w:t>არის</w:t>
            </w:r>
            <w:r w:rsidRPr="00A37C1D">
              <w:rPr>
                <w:rFonts w:ascii="Calibri" w:hAnsi="Calibri" w:cs="Calibri"/>
              </w:rPr>
              <w:t xml:space="preserve"> საჭიროება, რომ არსებობდეს 430 მგვტ სიმძლავრის მარეგულირებელი ჰიდროელექტროსადგური. ეს პარამეტრი მიღებულია მოდელირების შედეგად და </w:t>
            </w:r>
            <w:r w:rsidR="00880636" w:rsidRPr="00A37C1D">
              <w:rPr>
                <w:rFonts w:ascii="Calibri" w:hAnsi="Calibri" w:cs="Calibri"/>
              </w:rPr>
              <w:t>ა</w:t>
            </w:r>
            <w:r w:rsidRPr="00A37C1D">
              <w:rPr>
                <w:rFonts w:ascii="Calibri" w:hAnsi="Calibri" w:cs="Calibri"/>
              </w:rPr>
              <w:t xml:space="preserve">ჩვენებს </w:t>
            </w:r>
            <w:r w:rsidR="00880636" w:rsidRPr="00A37C1D">
              <w:rPr>
                <w:rFonts w:ascii="Calibri" w:hAnsi="Calibri" w:cs="Calibri"/>
              </w:rPr>
              <w:t xml:space="preserve">არა კონკრეტულ პროექტს, არამედ </w:t>
            </w:r>
            <w:r w:rsidRPr="00A37C1D">
              <w:rPr>
                <w:rFonts w:ascii="Calibri" w:hAnsi="Calibri" w:cs="Calibri"/>
              </w:rPr>
              <w:t>სიმძლავრეს</w:t>
            </w:r>
            <w:r w:rsidR="00356A89" w:rsidRPr="00A37C1D">
              <w:rPr>
                <w:rFonts w:ascii="Calibri" w:hAnsi="Calibri" w:cs="Calibri"/>
              </w:rPr>
              <w:t>,</w:t>
            </w:r>
            <w:r w:rsidRPr="00A37C1D">
              <w:rPr>
                <w:rFonts w:ascii="Calibri" w:hAnsi="Calibri" w:cs="Calibri"/>
              </w:rPr>
              <w:t xml:space="preserve"> რომელიც საჭირო იქნება მოთხოვნის დასაკმაყოფილებლად. ასეთი ღონისძიებები</w:t>
            </w:r>
            <w:r w:rsidR="00880636" w:rsidRPr="00A37C1D">
              <w:rPr>
                <w:rFonts w:ascii="Calibri" w:hAnsi="Calibri" w:cs="Calibri"/>
              </w:rPr>
              <w:t>ა</w:t>
            </w:r>
            <w:r w:rsidR="00356A89" w:rsidRPr="00A37C1D">
              <w:rPr>
                <w:rFonts w:ascii="Calibri" w:hAnsi="Calibri" w:cs="Calibri"/>
              </w:rPr>
              <w:t xml:space="preserve"> </w:t>
            </w:r>
            <w:r w:rsidRPr="00A37C1D">
              <w:rPr>
                <w:rFonts w:ascii="Calibri" w:hAnsi="Calibri" w:cs="Calibri"/>
              </w:rPr>
              <w:t xml:space="preserve"> „ენერგეტიკული უსაფრთხოების“ მიმართულებითაც</w:t>
            </w:r>
            <w:r w:rsidR="00880636" w:rsidRPr="00A37C1D">
              <w:rPr>
                <w:rFonts w:ascii="Calibri" w:hAnsi="Calibri" w:cs="Calibri"/>
              </w:rPr>
              <w:t>.</w:t>
            </w:r>
            <w:r w:rsidRPr="00A37C1D">
              <w:rPr>
                <w:rFonts w:ascii="Calibri" w:hAnsi="Calibri" w:cs="Calibri"/>
              </w:rPr>
              <w:t xml:space="preserve"> კერძოდ</w:t>
            </w:r>
            <w:r w:rsidR="00880636" w:rsidRPr="00A37C1D">
              <w:rPr>
                <w:rFonts w:ascii="Calibri" w:hAnsi="Calibri" w:cs="Calibri"/>
              </w:rPr>
              <w:t>,</w:t>
            </w:r>
            <w:r w:rsidRPr="00A37C1D">
              <w:rPr>
                <w:rFonts w:ascii="Calibri" w:hAnsi="Calibri" w:cs="Calibri"/>
              </w:rPr>
              <w:t xml:space="preserve"> ღონისძიებებისთვის ES-2 -დან ES-15 -ის ჩათვლით არ არის წარმოდგენილი კონკრეტული პროექტები</w:t>
            </w:r>
            <w:r w:rsidR="00161673" w:rsidRPr="00A37C1D">
              <w:rPr>
                <w:rFonts w:ascii="Calibri" w:hAnsi="Calibri" w:cs="Calibri"/>
              </w:rPr>
              <w:t>,</w:t>
            </w:r>
            <w:r w:rsidRPr="00A37C1D">
              <w:rPr>
                <w:rFonts w:ascii="Calibri" w:hAnsi="Calibri" w:cs="Calibri"/>
              </w:rPr>
              <w:t xml:space="preserve"> </w:t>
            </w:r>
            <w:r w:rsidR="00161673" w:rsidRPr="00A37C1D">
              <w:rPr>
                <w:rFonts w:ascii="Calibri" w:hAnsi="Calibri" w:cs="Calibri"/>
              </w:rPr>
              <w:t>რადგან</w:t>
            </w:r>
            <w:r w:rsidRPr="00A37C1D">
              <w:rPr>
                <w:rFonts w:ascii="Calibri" w:hAnsi="Calibri" w:cs="Calibri"/>
              </w:rPr>
              <w:t xml:space="preserve"> ისინი ან დაპროექტების </w:t>
            </w:r>
            <w:r w:rsidRPr="00A37C1D">
              <w:rPr>
                <w:rFonts w:ascii="Calibri" w:hAnsi="Calibri" w:cs="Calibri"/>
              </w:rPr>
              <w:lastRenderedPageBreak/>
              <w:t>ადრეულ ეტაპზე იმყოფებიან, ან მა</w:t>
            </w:r>
            <w:r w:rsidR="00356A89" w:rsidRPr="00A37C1D">
              <w:rPr>
                <w:rFonts w:ascii="Calibri" w:hAnsi="Calibri" w:cs="Calibri"/>
              </w:rPr>
              <w:t>თ</w:t>
            </w:r>
            <w:r w:rsidRPr="00A37C1D">
              <w:rPr>
                <w:rFonts w:ascii="Calibri" w:hAnsi="Calibri" w:cs="Calibri"/>
              </w:rPr>
              <w:t>ი ტექნიკური პარამეტრები ჯერ არ არის განსაზღვრული.</w:t>
            </w:r>
          </w:p>
          <w:p w14:paraId="1AB5B063" w14:textId="4146952E" w:rsidR="00DF4B33" w:rsidRPr="00A37C1D" w:rsidRDefault="00DF4B33">
            <w:pPr>
              <w:jc w:val="both"/>
              <w:rPr>
                <w:rFonts w:ascii="Calibri" w:hAnsi="Calibri" w:cs="Calibri"/>
              </w:rPr>
            </w:pPr>
          </w:p>
        </w:tc>
      </w:tr>
      <w:tr w:rsidR="004E4369" w:rsidRPr="00A37C1D" w14:paraId="7E1A60E0" w14:textId="77777777" w:rsidTr="00346E59">
        <w:tc>
          <w:tcPr>
            <w:tcW w:w="562" w:type="dxa"/>
          </w:tcPr>
          <w:p w14:paraId="4B3C2357" w14:textId="77777777" w:rsidR="004E4369" w:rsidRPr="00A37C1D" w:rsidRDefault="004E4369">
            <w:pPr>
              <w:pStyle w:val="ListParagraph"/>
              <w:numPr>
                <w:ilvl w:val="0"/>
                <w:numId w:val="7"/>
              </w:numPr>
              <w:rPr>
                <w:rFonts w:ascii="Calibri" w:hAnsi="Calibri" w:cs="Calibri"/>
              </w:rPr>
            </w:pPr>
          </w:p>
        </w:tc>
        <w:tc>
          <w:tcPr>
            <w:tcW w:w="5528" w:type="dxa"/>
          </w:tcPr>
          <w:p w14:paraId="6E03A76F" w14:textId="77777777" w:rsidR="004E4369" w:rsidRPr="00A37C1D" w:rsidRDefault="004E4369">
            <w:pPr>
              <w:pBdr>
                <w:top w:val="nil"/>
                <w:left w:val="nil"/>
                <w:bottom w:val="nil"/>
                <w:right w:val="nil"/>
                <w:between w:val="nil"/>
              </w:pBdr>
              <w:jc w:val="both"/>
              <w:rPr>
                <w:rFonts w:ascii="Calibri" w:eastAsia="Merriweather" w:hAnsi="Calibri" w:cs="Calibri"/>
              </w:rPr>
            </w:pPr>
            <w:r w:rsidRPr="00A37C1D">
              <w:rPr>
                <w:rFonts w:ascii="Calibri" w:eastAsia="Arial Unicode MS" w:hAnsi="Calibri" w:cs="Calibri"/>
              </w:rPr>
              <w:t xml:space="preserve">სტრატეგიულ გარემოსდაცვითი შეფასების ანგარიშსა (გვ. 26, ცხრილი 4) და საქართველოს ენერგეტიკისა და კლიმატის ეროვნულ ინტეგრირებულ გეგმაში (NECP) ასახული (გვ. 163)  ელექტროენერგიის წარმოების სიმძლავრის (მგვტ) პროგნოზის თაობაზე მონაცემების თანახმად, 2030 წლისთვის ჰიდროენერგიის წარმოება არსებული ღონისძიებების გათვალისწინებით პროგნოზირებულია 5139 მეგავატი, ხოლო 2030 წლისთვის სტრატეგიული დოკუმენტით დაგეგმილი ღონისძიებების გათვალისწინებით - 3992 მეგავატი. შესაბამისად, საჭიროა დაზუსტდეს, არსებული ღონისძიებები რა სიმძლავრის და ტიპის ენერგოწყაროებს გულისხმობს; </w:t>
            </w:r>
          </w:p>
          <w:p w14:paraId="5D24A6A8" w14:textId="77777777" w:rsidR="004E4369" w:rsidRPr="00A37C1D" w:rsidRDefault="004E4369">
            <w:pPr>
              <w:jc w:val="both"/>
              <w:rPr>
                <w:rFonts w:ascii="Calibri" w:hAnsi="Calibri" w:cs="Calibri"/>
                <w:lang w:val="en-US"/>
              </w:rPr>
            </w:pPr>
          </w:p>
        </w:tc>
        <w:tc>
          <w:tcPr>
            <w:tcW w:w="8363" w:type="dxa"/>
          </w:tcPr>
          <w:p w14:paraId="1497CA11" w14:textId="4CD8A1DF" w:rsidR="00026DA7" w:rsidRPr="00A37C1D" w:rsidRDefault="007E430E">
            <w:pPr>
              <w:jc w:val="both"/>
              <w:rPr>
                <w:rFonts w:ascii="Calibri" w:hAnsi="Calibri" w:cs="Calibri"/>
                <w:lang w:val="en-US"/>
              </w:rPr>
            </w:pPr>
            <w:r w:rsidRPr="00A37C1D">
              <w:rPr>
                <w:rFonts w:ascii="Calibri" w:hAnsi="Calibri" w:cs="Calibri"/>
                <w:lang w:val="en-US"/>
              </w:rPr>
              <w:t>„</w:t>
            </w:r>
            <w:proofErr w:type="spellStart"/>
            <w:proofErr w:type="gramStart"/>
            <w:r w:rsidRPr="00A37C1D">
              <w:rPr>
                <w:rFonts w:ascii="Calibri" w:hAnsi="Calibri" w:cs="Calibri"/>
                <w:lang w:val="en-US"/>
              </w:rPr>
              <w:t>არსებული</w:t>
            </w:r>
            <w:proofErr w:type="spellEnd"/>
            <w:proofErr w:type="gramEnd"/>
            <w:r w:rsidRPr="00A37C1D">
              <w:rPr>
                <w:rFonts w:ascii="Calibri" w:hAnsi="Calibri" w:cs="Calibri"/>
                <w:lang w:val="en-US"/>
              </w:rPr>
              <w:t xml:space="preserve"> </w:t>
            </w:r>
            <w:proofErr w:type="spellStart"/>
            <w:r w:rsidRPr="00A37C1D">
              <w:rPr>
                <w:rFonts w:ascii="Calibri" w:hAnsi="Calibri" w:cs="Calibri"/>
                <w:lang w:val="en-US"/>
              </w:rPr>
              <w:t>ღონისძიებებით</w:t>
            </w:r>
            <w:proofErr w:type="spellEnd"/>
            <w:r w:rsidRPr="00A37C1D">
              <w:rPr>
                <w:rFonts w:ascii="Calibri" w:hAnsi="Calibri" w:cs="Calibri"/>
                <w:lang w:val="en-US"/>
              </w:rPr>
              <w:t>“</w:t>
            </w:r>
            <w:r w:rsidRPr="00A37C1D">
              <w:rPr>
                <w:rFonts w:ascii="Calibri" w:hAnsi="Calibri" w:cs="Calibri"/>
              </w:rPr>
              <w:t xml:space="preserve"> </w:t>
            </w:r>
            <w:r w:rsidRPr="00A37C1D">
              <w:rPr>
                <w:rFonts w:ascii="Calibri" w:hAnsi="Calibri" w:cs="Calibri"/>
                <w:lang w:val="en-US"/>
              </w:rPr>
              <w:t xml:space="preserve">(WEM) </w:t>
            </w:r>
            <w:proofErr w:type="spellStart"/>
            <w:r w:rsidRPr="00A37C1D">
              <w:rPr>
                <w:rFonts w:ascii="Calibri" w:hAnsi="Calibri" w:cs="Calibri"/>
                <w:lang w:val="en-US"/>
              </w:rPr>
              <w:t>სცენარი</w:t>
            </w:r>
            <w:proofErr w:type="spellEnd"/>
            <w:r w:rsidRPr="00A37C1D">
              <w:rPr>
                <w:rFonts w:ascii="Calibri" w:hAnsi="Calibri" w:cs="Calibri"/>
                <w:lang w:val="en-US"/>
              </w:rPr>
              <w:t xml:space="preserve"> არის </w:t>
            </w:r>
            <w:proofErr w:type="spellStart"/>
            <w:r w:rsidRPr="00A37C1D">
              <w:rPr>
                <w:rFonts w:ascii="Calibri" w:hAnsi="Calibri" w:cs="Calibri"/>
                <w:lang w:val="en-US"/>
              </w:rPr>
              <w:t>ჰიპოთეზური</w:t>
            </w:r>
            <w:proofErr w:type="spellEnd"/>
            <w:r w:rsidRPr="00A37C1D">
              <w:rPr>
                <w:rFonts w:ascii="Calibri" w:hAnsi="Calibri" w:cs="Calibri"/>
                <w:lang w:val="en-US"/>
              </w:rPr>
              <w:t xml:space="preserve"> </w:t>
            </w:r>
            <w:proofErr w:type="spellStart"/>
            <w:r w:rsidRPr="00A37C1D">
              <w:rPr>
                <w:rFonts w:ascii="Calibri" w:hAnsi="Calibri" w:cs="Calibri"/>
                <w:lang w:val="en-US"/>
              </w:rPr>
              <w:t>სცენარი</w:t>
            </w:r>
            <w:proofErr w:type="spellEnd"/>
            <w:r w:rsidRPr="00A37C1D">
              <w:rPr>
                <w:rFonts w:ascii="Calibri" w:hAnsi="Calibri" w:cs="Calibri"/>
                <w:lang w:val="en-US"/>
              </w:rPr>
              <w:t xml:space="preserve">, </w:t>
            </w:r>
            <w:proofErr w:type="spellStart"/>
            <w:r w:rsidRPr="00A37C1D">
              <w:rPr>
                <w:rFonts w:ascii="Calibri" w:hAnsi="Calibri" w:cs="Calibri"/>
                <w:lang w:val="en-US"/>
              </w:rPr>
              <w:t>რომელთანაც</w:t>
            </w:r>
            <w:proofErr w:type="spellEnd"/>
            <w:r w:rsidRPr="00A37C1D">
              <w:rPr>
                <w:rFonts w:ascii="Calibri" w:hAnsi="Calibri" w:cs="Calibri"/>
                <w:lang w:val="en-US"/>
              </w:rPr>
              <w:t xml:space="preserve"> </w:t>
            </w:r>
            <w:proofErr w:type="spellStart"/>
            <w:r w:rsidRPr="00A37C1D">
              <w:rPr>
                <w:rFonts w:ascii="Calibri" w:hAnsi="Calibri" w:cs="Calibri"/>
                <w:lang w:val="en-US"/>
              </w:rPr>
              <w:t>ხდება</w:t>
            </w:r>
            <w:proofErr w:type="spellEnd"/>
            <w:r w:rsidRPr="00A37C1D">
              <w:rPr>
                <w:rFonts w:ascii="Calibri" w:hAnsi="Calibri" w:cs="Calibri"/>
                <w:lang w:val="en-US"/>
              </w:rPr>
              <w:t xml:space="preserve"> NECP </w:t>
            </w:r>
            <w:proofErr w:type="spellStart"/>
            <w:r w:rsidRPr="00A37C1D">
              <w:rPr>
                <w:rFonts w:ascii="Calibri" w:hAnsi="Calibri" w:cs="Calibri"/>
                <w:lang w:val="en-US"/>
              </w:rPr>
              <w:t>სცენარის</w:t>
            </w:r>
            <w:proofErr w:type="spellEnd"/>
            <w:r w:rsidRPr="00A37C1D">
              <w:rPr>
                <w:rFonts w:ascii="Calibri" w:hAnsi="Calibri" w:cs="Calibri"/>
                <w:lang w:val="en-US"/>
              </w:rPr>
              <w:t xml:space="preserve"> </w:t>
            </w:r>
            <w:proofErr w:type="spellStart"/>
            <w:r w:rsidRPr="00A37C1D">
              <w:rPr>
                <w:rFonts w:ascii="Calibri" w:hAnsi="Calibri" w:cs="Calibri"/>
                <w:lang w:val="en-US"/>
              </w:rPr>
              <w:t>შედარება</w:t>
            </w:r>
            <w:proofErr w:type="spellEnd"/>
            <w:r w:rsidRPr="00A37C1D">
              <w:rPr>
                <w:rFonts w:ascii="Calibri" w:hAnsi="Calibri" w:cs="Calibri"/>
                <w:lang w:val="en-US"/>
              </w:rPr>
              <w:t xml:space="preserve">. </w:t>
            </w:r>
            <w:proofErr w:type="spellStart"/>
            <w:r w:rsidRPr="00A37C1D">
              <w:rPr>
                <w:rFonts w:ascii="Calibri" w:hAnsi="Calibri" w:cs="Calibri"/>
                <w:lang w:val="en-US"/>
              </w:rPr>
              <w:t>მისი</w:t>
            </w:r>
            <w:proofErr w:type="spellEnd"/>
            <w:r w:rsidRPr="00A37C1D">
              <w:rPr>
                <w:rFonts w:ascii="Calibri" w:hAnsi="Calibri" w:cs="Calibri"/>
                <w:lang w:val="en-US"/>
              </w:rPr>
              <w:t xml:space="preserve"> </w:t>
            </w:r>
            <w:proofErr w:type="spellStart"/>
            <w:r w:rsidRPr="00A37C1D">
              <w:rPr>
                <w:rFonts w:ascii="Calibri" w:hAnsi="Calibri" w:cs="Calibri"/>
                <w:lang w:val="en-US"/>
              </w:rPr>
              <w:t>შინაარსი</w:t>
            </w:r>
            <w:proofErr w:type="spellEnd"/>
            <w:r w:rsidRPr="00A37C1D">
              <w:rPr>
                <w:rFonts w:ascii="Calibri" w:hAnsi="Calibri" w:cs="Calibri"/>
                <w:lang w:val="en-US"/>
              </w:rPr>
              <w:t xml:space="preserve"> არის შემდეგი</w:t>
            </w:r>
            <w:r w:rsidR="00C27A38" w:rsidRPr="00A37C1D">
              <w:rPr>
                <w:rFonts w:ascii="Calibri" w:hAnsi="Calibri" w:cs="Calibri"/>
                <w:lang w:val="en-US"/>
              </w:rPr>
              <w:t xml:space="preserve"> - </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აჩვენებს</w:t>
            </w:r>
            <w:proofErr w:type="spellEnd"/>
            <w:r w:rsidRPr="00A37C1D">
              <w:rPr>
                <w:rFonts w:ascii="Calibri" w:hAnsi="Calibri" w:cs="Calibri"/>
                <w:lang w:val="en-US"/>
              </w:rPr>
              <w:t xml:space="preserve"> </w:t>
            </w:r>
            <w:proofErr w:type="spellStart"/>
            <w:r w:rsidRPr="00A37C1D">
              <w:rPr>
                <w:rFonts w:ascii="Calibri" w:hAnsi="Calibri" w:cs="Calibri"/>
                <w:lang w:val="en-US"/>
              </w:rPr>
              <w:t>თუ</w:t>
            </w:r>
            <w:proofErr w:type="spellEnd"/>
            <w:r w:rsidRPr="00A37C1D">
              <w:rPr>
                <w:rFonts w:ascii="Calibri" w:hAnsi="Calibri" w:cs="Calibri"/>
                <w:lang w:val="en-US"/>
              </w:rPr>
              <w:t xml:space="preserve"> </w:t>
            </w:r>
            <w:proofErr w:type="spellStart"/>
            <w:r w:rsidRPr="00A37C1D">
              <w:rPr>
                <w:rFonts w:ascii="Calibri" w:hAnsi="Calibri" w:cs="Calibri"/>
                <w:lang w:val="en-US"/>
              </w:rPr>
              <w:t>როგორ</w:t>
            </w:r>
            <w:proofErr w:type="spellEnd"/>
            <w:r w:rsidRPr="00A37C1D">
              <w:rPr>
                <w:rFonts w:ascii="Calibri" w:hAnsi="Calibri" w:cs="Calibri"/>
                <w:lang w:val="en-US"/>
              </w:rPr>
              <w:t xml:space="preserve"> </w:t>
            </w:r>
            <w:proofErr w:type="spellStart"/>
            <w:r w:rsidRPr="00A37C1D">
              <w:rPr>
                <w:rFonts w:ascii="Calibri" w:hAnsi="Calibri" w:cs="Calibri"/>
                <w:lang w:val="en-US"/>
              </w:rPr>
              <w:t>გაიზრდება</w:t>
            </w:r>
            <w:proofErr w:type="spellEnd"/>
            <w:r w:rsidRPr="00A37C1D">
              <w:rPr>
                <w:rFonts w:ascii="Calibri" w:hAnsi="Calibri" w:cs="Calibri"/>
                <w:lang w:val="en-US"/>
              </w:rPr>
              <w:t xml:space="preserve"> </w:t>
            </w:r>
            <w:proofErr w:type="spellStart"/>
            <w:r w:rsidRPr="00A37C1D">
              <w:rPr>
                <w:rFonts w:ascii="Calibri" w:hAnsi="Calibri" w:cs="Calibri"/>
                <w:lang w:val="en-US"/>
              </w:rPr>
              <w:t>ელექტროენერგიაზე</w:t>
            </w:r>
            <w:proofErr w:type="spellEnd"/>
            <w:r w:rsidRPr="00A37C1D">
              <w:rPr>
                <w:rFonts w:ascii="Calibri" w:hAnsi="Calibri" w:cs="Calibri"/>
                <w:lang w:val="en-US"/>
              </w:rPr>
              <w:t xml:space="preserve"> </w:t>
            </w:r>
            <w:proofErr w:type="spellStart"/>
            <w:r w:rsidRPr="00A37C1D">
              <w:rPr>
                <w:rFonts w:ascii="Calibri" w:hAnsi="Calibri" w:cs="Calibri"/>
                <w:lang w:val="en-US"/>
              </w:rPr>
              <w:t>მოთხოვნა</w:t>
            </w:r>
            <w:proofErr w:type="spellEnd"/>
            <w:r w:rsidRPr="00A37C1D">
              <w:rPr>
                <w:rFonts w:ascii="Calibri" w:hAnsi="Calibri" w:cs="Calibri"/>
                <w:lang w:val="en-US"/>
              </w:rPr>
              <w:t xml:space="preserve">, </w:t>
            </w:r>
            <w:proofErr w:type="spellStart"/>
            <w:r w:rsidRPr="00A37C1D">
              <w:rPr>
                <w:rFonts w:ascii="Calibri" w:hAnsi="Calibri" w:cs="Calibri"/>
                <w:lang w:val="en-US"/>
              </w:rPr>
              <w:t>თუ</w:t>
            </w:r>
            <w:proofErr w:type="spellEnd"/>
            <w:r w:rsidRPr="00A37C1D">
              <w:rPr>
                <w:rFonts w:ascii="Calibri" w:hAnsi="Calibri" w:cs="Calibri"/>
                <w:lang w:val="en-US"/>
              </w:rPr>
              <w:t xml:space="preserve"> </w:t>
            </w:r>
            <w:proofErr w:type="spellStart"/>
            <w:r w:rsidR="004D7C96" w:rsidRPr="00A37C1D">
              <w:rPr>
                <w:rFonts w:ascii="Calibri" w:hAnsi="Calibri" w:cs="Calibri"/>
                <w:lang w:val="en-US"/>
              </w:rPr>
              <w:t>იქნება</w:t>
            </w:r>
            <w:proofErr w:type="spellEnd"/>
            <w:r w:rsidRPr="00A37C1D">
              <w:rPr>
                <w:rFonts w:ascii="Calibri" w:hAnsi="Calibri" w:cs="Calibri"/>
                <w:lang w:val="en-US"/>
              </w:rPr>
              <w:t xml:space="preserve"> მხოლოდ </w:t>
            </w:r>
            <w:proofErr w:type="spellStart"/>
            <w:r w:rsidRPr="00A37C1D">
              <w:rPr>
                <w:rFonts w:ascii="Calibri" w:hAnsi="Calibri" w:cs="Calibri"/>
                <w:lang w:val="en-US"/>
              </w:rPr>
              <w:t>არსებული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ღონისძიებები</w:t>
            </w:r>
            <w:proofErr w:type="spellEnd"/>
            <w:r w:rsidRPr="00A37C1D">
              <w:rPr>
                <w:rFonts w:ascii="Calibri" w:hAnsi="Calibri" w:cs="Calibri"/>
                <w:lang w:val="en-US"/>
              </w:rPr>
              <w:t xml:space="preserve"> (</w:t>
            </w:r>
            <w:proofErr w:type="spellStart"/>
            <w:r w:rsidRPr="00A37C1D">
              <w:rPr>
                <w:rFonts w:ascii="Calibri" w:hAnsi="Calibri" w:cs="Calibri"/>
                <w:lang w:val="en-US"/>
              </w:rPr>
              <w:t>ანუ</w:t>
            </w:r>
            <w:proofErr w:type="spellEnd"/>
            <w:r w:rsidRPr="00A37C1D">
              <w:rPr>
                <w:rFonts w:ascii="Calibri" w:hAnsi="Calibri" w:cs="Calibri"/>
                <w:lang w:val="en-US"/>
              </w:rPr>
              <w:t xml:space="preserve"> 2020 </w:t>
            </w:r>
            <w:proofErr w:type="spellStart"/>
            <w:r w:rsidRPr="00A37C1D">
              <w:rPr>
                <w:rFonts w:ascii="Calibri" w:hAnsi="Calibri" w:cs="Calibri"/>
                <w:lang w:val="en-US"/>
              </w:rPr>
              <w:t>წლამდე</w:t>
            </w:r>
            <w:proofErr w:type="spellEnd"/>
            <w:r w:rsidRPr="00A37C1D">
              <w:rPr>
                <w:rFonts w:ascii="Calibri" w:hAnsi="Calibri" w:cs="Calibri"/>
                <w:lang w:val="en-US"/>
              </w:rPr>
              <w:t xml:space="preserve"> </w:t>
            </w:r>
            <w:proofErr w:type="spellStart"/>
            <w:r w:rsidRPr="00A37C1D">
              <w:rPr>
                <w:rFonts w:ascii="Calibri" w:hAnsi="Calibri" w:cs="Calibri"/>
                <w:lang w:val="en-US"/>
              </w:rPr>
              <w:t>არსებულები</w:t>
            </w:r>
            <w:proofErr w:type="spellEnd"/>
            <w:r w:rsidRPr="00A37C1D">
              <w:rPr>
                <w:rFonts w:ascii="Calibri" w:hAnsi="Calibri" w:cs="Calibri"/>
                <w:lang w:val="en-US"/>
              </w:rPr>
              <w:t xml:space="preserve">) და </w:t>
            </w:r>
            <w:proofErr w:type="spellStart"/>
            <w:r w:rsidRPr="00A37C1D">
              <w:rPr>
                <w:rFonts w:ascii="Calibri" w:hAnsi="Calibri" w:cs="Calibri"/>
                <w:lang w:val="en-US"/>
              </w:rPr>
              <w:t>არ</w:t>
            </w:r>
            <w:proofErr w:type="spellEnd"/>
            <w:r w:rsidRPr="00A37C1D">
              <w:rPr>
                <w:rFonts w:ascii="Calibri" w:hAnsi="Calibri" w:cs="Calibri"/>
                <w:lang w:val="en-US"/>
              </w:rPr>
              <w:t xml:space="preserve"> </w:t>
            </w:r>
            <w:proofErr w:type="spellStart"/>
            <w:r w:rsidRPr="00A37C1D">
              <w:rPr>
                <w:rFonts w:ascii="Calibri" w:hAnsi="Calibri" w:cs="Calibri"/>
                <w:lang w:val="en-US"/>
              </w:rPr>
              <w:t>გა</w:t>
            </w:r>
            <w:r w:rsidR="004D7C96" w:rsidRPr="00A37C1D">
              <w:rPr>
                <w:rFonts w:ascii="Calibri" w:hAnsi="Calibri" w:cs="Calibri"/>
                <w:lang w:val="en-US"/>
              </w:rPr>
              <w:t>ტარდება</w:t>
            </w:r>
            <w:proofErr w:type="spellEnd"/>
            <w:r w:rsidRPr="00A37C1D">
              <w:rPr>
                <w:rFonts w:ascii="Calibri" w:hAnsi="Calibri" w:cs="Calibri"/>
                <w:lang w:val="en-US"/>
              </w:rPr>
              <w:t xml:space="preserve"> </w:t>
            </w:r>
            <w:proofErr w:type="spellStart"/>
            <w:r w:rsidRPr="00A37C1D">
              <w:rPr>
                <w:rFonts w:ascii="Calibri" w:hAnsi="Calibri" w:cs="Calibri"/>
                <w:lang w:val="en-US"/>
              </w:rPr>
              <w:t>ახალ</w:t>
            </w:r>
            <w:r w:rsidR="004D7C96" w:rsidRPr="00A37C1D">
              <w:rPr>
                <w:rFonts w:ascii="Calibri" w:hAnsi="Calibri" w:cs="Calibri"/>
                <w:lang w:val="en-US"/>
              </w:rPr>
              <w:t>ი</w:t>
            </w:r>
            <w:proofErr w:type="spellEnd"/>
            <w:r w:rsidRPr="00A37C1D">
              <w:rPr>
                <w:rFonts w:ascii="Calibri" w:hAnsi="Calibri" w:cs="Calibri"/>
                <w:lang w:val="en-US"/>
              </w:rPr>
              <w:t xml:space="preserve"> </w:t>
            </w:r>
            <w:proofErr w:type="spellStart"/>
            <w:r w:rsidRPr="00A37C1D">
              <w:rPr>
                <w:rFonts w:ascii="Calibri" w:hAnsi="Calibri" w:cs="Calibri"/>
                <w:lang w:val="en-US"/>
              </w:rPr>
              <w:t>ღონისძიებებ</w:t>
            </w:r>
            <w:r w:rsidR="004D7C96" w:rsidRPr="00A37C1D">
              <w:rPr>
                <w:rFonts w:ascii="Calibri" w:hAnsi="Calibri" w:cs="Calibri"/>
                <w:lang w:val="en-US"/>
              </w:rPr>
              <w:t>ი</w:t>
            </w:r>
            <w:proofErr w:type="spellEnd"/>
            <w:r w:rsidRPr="00A37C1D">
              <w:rPr>
                <w:rFonts w:ascii="Calibri" w:hAnsi="Calibri" w:cs="Calibri"/>
                <w:lang w:val="en-US"/>
              </w:rPr>
              <w:t xml:space="preserve">, </w:t>
            </w:r>
            <w:proofErr w:type="spellStart"/>
            <w:r w:rsidRPr="00A37C1D">
              <w:rPr>
                <w:rFonts w:ascii="Calibri" w:hAnsi="Calibri" w:cs="Calibri"/>
                <w:lang w:val="en-US"/>
              </w:rPr>
              <w:t>რომლებიც</w:t>
            </w:r>
            <w:proofErr w:type="spellEnd"/>
            <w:r w:rsidRPr="00A37C1D">
              <w:rPr>
                <w:rFonts w:ascii="Calibri" w:hAnsi="Calibri" w:cs="Calibri"/>
                <w:lang w:val="en-US"/>
              </w:rPr>
              <w:t xml:space="preserve"> </w:t>
            </w:r>
            <w:proofErr w:type="spellStart"/>
            <w:r w:rsidRPr="00A37C1D">
              <w:rPr>
                <w:rFonts w:ascii="Calibri" w:hAnsi="Calibri" w:cs="Calibri"/>
                <w:lang w:val="en-US"/>
              </w:rPr>
              <w:t>გაწერილია</w:t>
            </w:r>
            <w:proofErr w:type="spellEnd"/>
            <w:r w:rsidRPr="00A37C1D">
              <w:rPr>
                <w:rFonts w:ascii="Calibri" w:hAnsi="Calibri" w:cs="Calibri"/>
                <w:lang w:val="en-US"/>
              </w:rPr>
              <w:t xml:space="preserve"> NECP-</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დოკუმენტში</w:t>
            </w:r>
            <w:proofErr w:type="spellEnd"/>
            <w:r w:rsidRPr="00A37C1D">
              <w:rPr>
                <w:rFonts w:ascii="Calibri" w:hAnsi="Calibri" w:cs="Calibri"/>
                <w:lang w:val="en-US"/>
              </w:rPr>
              <w:t xml:space="preserve"> და </w:t>
            </w:r>
            <w:proofErr w:type="spellStart"/>
            <w:r w:rsidRPr="00A37C1D">
              <w:rPr>
                <w:rFonts w:ascii="Calibri" w:hAnsi="Calibri" w:cs="Calibri"/>
                <w:lang w:val="en-US"/>
              </w:rPr>
              <w:t>შედის</w:t>
            </w:r>
            <w:proofErr w:type="spellEnd"/>
            <w:r w:rsidRPr="00A37C1D">
              <w:rPr>
                <w:rFonts w:ascii="Calibri" w:hAnsi="Calibri" w:cs="Calibri"/>
                <w:lang w:val="en-US"/>
              </w:rPr>
              <w:t xml:space="preserve"> NECP </w:t>
            </w:r>
            <w:proofErr w:type="spellStart"/>
            <w:r w:rsidRPr="00A37C1D">
              <w:rPr>
                <w:rFonts w:ascii="Calibri" w:hAnsi="Calibri" w:cs="Calibri"/>
                <w:lang w:val="en-US"/>
              </w:rPr>
              <w:t>სცენარში</w:t>
            </w:r>
            <w:proofErr w:type="spellEnd"/>
            <w:r w:rsidRPr="00A37C1D">
              <w:rPr>
                <w:rFonts w:ascii="Calibri" w:hAnsi="Calibri" w:cs="Calibri"/>
                <w:lang w:val="en-US"/>
              </w:rPr>
              <w:t xml:space="preserve">. </w:t>
            </w:r>
            <w:proofErr w:type="spellStart"/>
            <w:proofErr w:type="gramStart"/>
            <w:r w:rsidRPr="00A37C1D">
              <w:rPr>
                <w:rFonts w:ascii="Calibri" w:hAnsi="Calibri" w:cs="Calibri"/>
                <w:lang w:val="en-US"/>
              </w:rPr>
              <w:t>შესაბამისად</w:t>
            </w:r>
            <w:proofErr w:type="spellEnd"/>
            <w:proofErr w:type="gramEnd"/>
            <w:r w:rsidRPr="00A37C1D">
              <w:rPr>
                <w:rFonts w:ascii="Calibri" w:hAnsi="Calibri" w:cs="Calibri"/>
                <w:lang w:val="en-US"/>
              </w:rPr>
              <w:t>, „</w:t>
            </w:r>
            <w:proofErr w:type="spellStart"/>
            <w:r w:rsidRPr="00A37C1D">
              <w:rPr>
                <w:rFonts w:ascii="Calibri" w:hAnsi="Calibri" w:cs="Calibri"/>
                <w:lang w:val="en-US"/>
              </w:rPr>
              <w:t>არსებული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ღონისძიებებით</w:t>
            </w:r>
            <w:proofErr w:type="spellEnd"/>
            <w:r w:rsidRPr="00A37C1D">
              <w:rPr>
                <w:rFonts w:ascii="Calibri" w:hAnsi="Calibri" w:cs="Calibri"/>
                <w:lang w:val="en-US"/>
              </w:rPr>
              <w:t xml:space="preserve">“(WEM) </w:t>
            </w:r>
            <w:proofErr w:type="spellStart"/>
            <w:r w:rsidRPr="00A37C1D">
              <w:rPr>
                <w:rFonts w:ascii="Calibri" w:hAnsi="Calibri" w:cs="Calibri"/>
                <w:lang w:val="en-US"/>
              </w:rPr>
              <w:t>სცენარის</w:t>
            </w:r>
            <w:proofErr w:type="spellEnd"/>
            <w:r w:rsidRPr="00A37C1D">
              <w:rPr>
                <w:rFonts w:ascii="Calibri" w:hAnsi="Calibri" w:cs="Calibri"/>
                <w:lang w:val="en-US"/>
              </w:rPr>
              <w:t xml:space="preserve">  </w:t>
            </w:r>
            <w:proofErr w:type="spellStart"/>
            <w:r w:rsidR="00D74A7C" w:rsidRPr="00A37C1D">
              <w:rPr>
                <w:rFonts w:ascii="Calibri" w:hAnsi="Calibri" w:cs="Calibri"/>
                <w:lang w:val="en-US"/>
              </w:rPr>
              <w:t>გენ</w:t>
            </w:r>
            <w:r w:rsidRPr="00A37C1D">
              <w:rPr>
                <w:rFonts w:ascii="Calibri" w:hAnsi="Calibri" w:cs="Calibri"/>
                <w:lang w:val="en-US"/>
              </w:rPr>
              <w:t>ერაციის</w:t>
            </w:r>
            <w:proofErr w:type="spellEnd"/>
            <w:r w:rsidRPr="00A37C1D">
              <w:rPr>
                <w:rFonts w:ascii="Calibri" w:hAnsi="Calibri" w:cs="Calibri"/>
                <w:lang w:val="en-US"/>
              </w:rPr>
              <w:t xml:space="preserve"> </w:t>
            </w:r>
            <w:proofErr w:type="spellStart"/>
            <w:r w:rsidRPr="00A37C1D">
              <w:rPr>
                <w:rFonts w:ascii="Calibri" w:hAnsi="Calibri" w:cs="Calibri"/>
                <w:lang w:val="en-US"/>
              </w:rPr>
              <w:t>დადგმული</w:t>
            </w:r>
            <w:proofErr w:type="spellEnd"/>
            <w:r w:rsidRPr="00A37C1D">
              <w:rPr>
                <w:rFonts w:ascii="Calibri" w:hAnsi="Calibri" w:cs="Calibri"/>
                <w:lang w:val="en-US"/>
              </w:rPr>
              <w:t xml:space="preserve"> </w:t>
            </w:r>
            <w:proofErr w:type="spellStart"/>
            <w:r w:rsidRPr="00A37C1D">
              <w:rPr>
                <w:rFonts w:ascii="Calibri" w:hAnsi="Calibri" w:cs="Calibri"/>
                <w:lang w:val="en-US"/>
              </w:rPr>
              <w:t>სიმიძლავრე</w:t>
            </w:r>
            <w:proofErr w:type="spellEnd"/>
            <w:r w:rsidRPr="00A37C1D">
              <w:rPr>
                <w:rFonts w:ascii="Calibri" w:hAnsi="Calibri" w:cs="Calibri"/>
                <w:lang w:val="en-US"/>
              </w:rPr>
              <w:t xml:space="preserve"> არის </w:t>
            </w:r>
            <w:proofErr w:type="spellStart"/>
            <w:r w:rsidRPr="00A37C1D">
              <w:rPr>
                <w:rFonts w:ascii="Calibri" w:hAnsi="Calibri" w:cs="Calibri"/>
                <w:lang w:val="en-US"/>
              </w:rPr>
              <w:t>ჰიპო</w:t>
            </w:r>
            <w:r w:rsidR="00026DA7" w:rsidRPr="00A37C1D">
              <w:rPr>
                <w:rFonts w:ascii="Calibri" w:hAnsi="Calibri" w:cs="Calibri"/>
              </w:rPr>
              <w:t>თეტური</w:t>
            </w:r>
            <w:proofErr w:type="spellEnd"/>
            <w:r w:rsidR="005B58A2" w:rsidRPr="00A37C1D">
              <w:rPr>
                <w:rFonts w:ascii="Calibri" w:hAnsi="Calibri" w:cs="Calibri"/>
              </w:rPr>
              <w:t>, რადგან</w:t>
            </w:r>
            <w:r w:rsidRPr="00A37C1D">
              <w:rPr>
                <w:rFonts w:ascii="Calibri" w:hAnsi="Calibri" w:cs="Calibri"/>
                <w:lang w:val="en-US"/>
              </w:rPr>
              <w:t xml:space="preserve"> </w:t>
            </w:r>
            <w:r w:rsidR="00026DA7" w:rsidRPr="00A37C1D">
              <w:rPr>
                <w:rFonts w:ascii="Calibri" w:hAnsi="Calibri" w:cs="Calibri"/>
              </w:rPr>
              <w:t xml:space="preserve">ის </w:t>
            </w:r>
            <w:r w:rsidR="004D7C96" w:rsidRPr="00A37C1D">
              <w:rPr>
                <w:rFonts w:ascii="Calibri" w:hAnsi="Calibri" w:cs="Calibri"/>
              </w:rPr>
              <w:t>ა</w:t>
            </w:r>
            <w:r w:rsidR="00026DA7" w:rsidRPr="00A37C1D">
              <w:rPr>
                <w:rFonts w:ascii="Calibri" w:hAnsi="Calibri" w:cs="Calibri"/>
              </w:rPr>
              <w:t xml:space="preserve">ჩვენებს, თუ რა </w:t>
            </w:r>
            <w:proofErr w:type="spellStart"/>
            <w:r w:rsidRPr="00A37C1D">
              <w:rPr>
                <w:rFonts w:ascii="Calibri" w:hAnsi="Calibri" w:cs="Calibri"/>
                <w:lang w:val="en-US"/>
              </w:rPr>
              <w:t>ჰიდრო</w:t>
            </w:r>
            <w:proofErr w:type="spellEnd"/>
            <w:r w:rsidRPr="00A37C1D">
              <w:rPr>
                <w:rFonts w:ascii="Calibri" w:hAnsi="Calibri" w:cs="Calibri"/>
                <w:lang w:val="en-US"/>
              </w:rPr>
              <w:t xml:space="preserve"> </w:t>
            </w:r>
            <w:proofErr w:type="spellStart"/>
            <w:r w:rsidRPr="00A37C1D">
              <w:rPr>
                <w:rFonts w:ascii="Calibri" w:hAnsi="Calibri" w:cs="Calibri"/>
                <w:lang w:val="en-US"/>
              </w:rPr>
              <w:t>სიმძლავრე</w:t>
            </w:r>
            <w:proofErr w:type="spellEnd"/>
            <w:r w:rsidRPr="00A37C1D">
              <w:rPr>
                <w:rFonts w:ascii="Calibri" w:hAnsi="Calibri" w:cs="Calibri"/>
                <w:lang w:val="en-US"/>
              </w:rPr>
              <w:t xml:space="preserve"> </w:t>
            </w:r>
            <w:r w:rsidR="004D7C96" w:rsidRPr="00A37C1D">
              <w:rPr>
                <w:rFonts w:ascii="Calibri" w:hAnsi="Calibri" w:cs="Calibri"/>
                <w:lang w:val="en-US"/>
              </w:rPr>
              <w:t xml:space="preserve">არის </w:t>
            </w:r>
            <w:proofErr w:type="spellStart"/>
            <w:r w:rsidR="004D7C96" w:rsidRPr="00A37C1D">
              <w:rPr>
                <w:rFonts w:ascii="Calibri" w:hAnsi="Calibri" w:cs="Calibri"/>
                <w:lang w:val="en-US"/>
              </w:rPr>
              <w:t>საჭირო</w:t>
            </w:r>
            <w:proofErr w:type="spellEnd"/>
            <w:r w:rsidRPr="00A37C1D">
              <w:rPr>
                <w:rFonts w:ascii="Calibri" w:hAnsi="Calibri" w:cs="Calibri"/>
                <w:lang w:val="en-US"/>
              </w:rPr>
              <w:t xml:space="preserve"> (ასევე</w:t>
            </w:r>
            <w:r w:rsidR="00C27A38" w:rsidRPr="00A37C1D">
              <w:rPr>
                <w:rFonts w:ascii="Calibri" w:hAnsi="Calibri" w:cs="Calibri"/>
                <w:lang w:val="en-US"/>
              </w:rPr>
              <w:t>,</w:t>
            </w:r>
            <w:r w:rsidRPr="00A37C1D">
              <w:rPr>
                <w:rFonts w:ascii="Calibri" w:hAnsi="Calibri" w:cs="Calibri"/>
                <w:lang w:val="en-US"/>
              </w:rPr>
              <w:t xml:space="preserve"> </w:t>
            </w:r>
            <w:proofErr w:type="spellStart"/>
            <w:r w:rsidRPr="00A37C1D">
              <w:rPr>
                <w:rFonts w:ascii="Calibri" w:hAnsi="Calibri" w:cs="Calibri"/>
                <w:lang w:val="en-US"/>
              </w:rPr>
              <w:t>თბოსადგურების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სიმძლავრე</w:t>
            </w:r>
            <w:proofErr w:type="spellEnd"/>
            <w:r w:rsidRPr="00A37C1D">
              <w:rPr>
                <w:rFonts w:ascii="Calibri" w:hAnsi="Calibri" w:cs="Calibri"/>
                <w:lang w:val="en-US"/>
              </w:rPr>
              <w:t xml:space="preserve">), რომ </w:t>
            </w:r>
            <w:proofErr w:type="spellStart"/>
            <w:r w:rsidRPr="00A37C1D">
              <w:rPr>
                <w:rFonts w:ascii="Calibri" w:hAnsi="Calibri" w:cs="Calibri"/>
                <w:lang w:val="en-US"/>
              </w:rPr>
              <w:t>გაზრდილი</w:t>
            </w:r>
            <w:proofErr w:type="spellEnd"/>
            <w:r w:rsidRPr="00A37C1D">
              <w:rPr>
                <w:rFonts w:ascii="Calibri" w:hAnsi="Calibri" w:cs="Calibri"/>
                <w:lang w:val="en-US"/>
              </w:rPr>
              <w:t xml:space="preserve"> </w:t>
            </w:r>
            <w:proofErr w:type="spellStart"/>
            <w:r w:rsidRPr="00A37C1D">
              <w:rPr>
                <w:rFonts w:ascii="Calibri" w:hAnsi="Calibri" w:cs="Calibri"/>
                <w:lang w:val="en-US"/>
              </w:rPr>
              <w:t>მოთხოვნა</w:t>
            </w:r>
            <w:proofErr w:type="spellEnd"/>
            <w:r w:rsidRPr="00A37C1D">
              <w:rPr>
                <w:rFonts w:ascii="Calibri" w:hAnsi="Calibri" w:cs="Calibri"/>
                <w:lang w:val="en-US"/>
              </w:rPr>
              <w:t xml:space="preserve"> </w:t>
            </w:r>
            <w:proofErr w:type="spellStart"/>
            <w:r w:rsidRPr="00A37C1D">
              <w:rPr>
                <w:rFonts w:ascii="Calibri" w:hAnsi="Calibri" w:cs="Calibri"/>
                <w:lang w:val="en-US"/>
              </w:rPr>
              <w:t>დავაკმაყოფილოთ</w:t>
            </w:r>
            <w:proofErr w:type="spellEnd"/>
            <w:r w:rsidRPr="00A37C1D">
              <w:rPr>
                <w:rFonts w:ascii="Calibri" w:hAnsi="Calibri" w:cs="Calibri"/>
                <w:lang w:val="en-US"/>
              </w:rPr>
              <w:t xml:space="preserve"> </w:t>
            </w:r>
            <w:proofErr w:type="spellStart"/>
            <w:r w:rsidRPr="00A37C1D">
              <w:rPr>
                <w:rFonts w:ascii="Calibri" w:hAnsi="Calibri" w:cs="Calibri"/>
                <w:lang w:val="en-US"/>
              </w:rPr>
              <w:t>იმავე</w:t>
            </w:r>
            <w:proofErr w:type="spellEnd"/>
            <w:r w:rsidRPr="00A37C1D">
              <w:rPr>
                <w:rFonts w:ascii="Calibri" w:hAnsi="Calibri" w:cs="Calibri"/>
                <w:lang w:val="en-US"/>
              </w:rPr>
              <w:t xml:space="preserve"> </w:t>
            </w:r>
            <w:proofErr w:type="spellStart"/>
            <w:r w:rsidRPr="00A37C1D">
              <w:rPr>
                <w:rFonts w:ascii="Calibri" w:hAnsi="Calibri" w:cs="Calibri"/>
                <w:lang w:val="en-US"/>
              </w:rPr>
              <w:t>გზით</w:t>
            </w:r>
            <w:proofErr w:type="spellEnd"/>
            <w:r w:rsidRPr="00A37C1D">
              <w:rPr>
                <w:rFonts w:ascii="Calibri" w:hAnsi="Calibri" w:cs="Calibri"/>
                <w:lang w:val="en-US"/>
              </w:rPr>
              <w:t xml:space="preserve"> </w:t>
            </w:r>
            <w:proofErr w:type="spellStart"/>
            <w:r w:rsidRPr="00A37C1D">
              <w:rPr>
                <w:rFonts w:ascii="Calibri" w:hAnsi="Calibri" w:cs="Calibri"/>
                <w:lang w:val="en-US"/>
              </w:rPr>
              <w:t>რა</w:t>
            </w:r>
            <w:proofErr w:type="spellEnd"/>
            <w:r w:rsidRPr="00A37C1D">
              <w:rPr>
                <w:rFonts w:ascii="Calibri" w:hAnsi="Calibri" w:cs="Calibri"/>
                <w:lang w:val="en-US"/>
              </w:rPr>
              <w:t xml:space="preserve"> </w:t>
            </w:r>
            <w:proofErr w:type="spellStart"/>
            <w:r w:rsidRPr="00A37C1D">
              <w:rPr>
                <w:rFonts w:ascii="Calibri" w:hAnsi="Calibri" w:cs="Calibri"/>
                <w:lang w:val="en-US"/>
              </w:rPr>
              <w:t>გზითაც</w:t>
            </w:r>
            <w:proofErr w:type="spellEnd"/>
            <w:r w:rsidRPr="00A37C1D">
              <w:rPr>
                <w:rFonts w:ascii="Calibri" w:hAnsi="Calibri" w:cs="Calibri"/>
                <w:lang w:val="en-US"/>
              </w:rPr>
              <w:t xml:space="preserve"> </w:t>
            </w:r>
            <w:proofErr w:type="spellStart"/>
            <w:r w:rsidRPr="00A37C1D">
              <w:rPr>
                <w:rFonts w:ascii="Calibri" w:hAnsi="Calibri" w:cs="Calibri"/>
                <w:lang w:val="en-US"/>
              </w:rPr>
              <w:t>აქამდე</w:t>
            </w:r>
            <w:proofErr w:type="spellEnd"/>
            <w:r w:rsidRPr="00A37C1D">
              <w:rPr>
                <w:rFonts w:ascii="Calibri" w:hAnsi="Calibri" w:cs="Calibri"/>
                <w:lang w:val="en-US"/>
              </w:rPr>
              <w:t xml:space="preserve"> </w:t>
            </w:r>
            <w:proofErr w:type="spellStart"/>
            <w:r w:rsidRPr="00A37C1D">
              <w:rPr>
                <w:rFonts w:ascii="Calibri" w:hAnsi="Calibri" w:cs="Calibri"/>
                <w:lang w:val="en-US"/>
              </w:rPr>
              <w:t>ვაკმაყოფილებდით</w:t>
            </w:r>
            <w:proofErr w:type="spellEnd"/>
            <w:r w:rsidRPr="00A37C1D">
              <w:rPr>
                <w:rFonts w:ascii="Calibri" w:hAnsi="Calibri" w:cs="Calibri"/>
                <w:lang w:val="en-US"/>
              </w:rPr>
              <w:t xml:space="preserve"> (</w:t>
            </w:r>
            <w:proofErr w:type="spellStart"/>
            <w:r w:rsidRPr="00A37C1D">
              <w:rPr>
                <w:rFonts w:ascii="Calibri" w:hAnsi="Calibri" w:cs="Calibri"/>
                <w:lang w:val="en-US"/>
              </w:rPr>
              <w:t>ჰიდრო</w:t>
            </w:r>
            <w:proofErr w:type="spellEnd"/>
            <w:r w:rsidRPr="00A37C1D">
              <w:rPr>
                <w:rFonts w:ascii="Calibri" w:hAnsi="Calibri" w:cs="Calibri"/>
                <w:lang w:val="en-US"/>
              </w:rPr>
              <w:t xml:space="preserve"> და </w:t>
            </w:r>
            <w:proofErr w:type="spellStart"/>
            <w:r w:rsidRPr="00A37C1D">
              <w:rPr>
                <w:rFonts w:ascii="Calibri" w:hAnsi="Calibri" w:cs="Calibri"/>
                <w:lang w:val="en-US"/>
              </w:rPr>
              <w:t>თბო</w:t>
            </w:r>
            <w:proofErr w:type="spellEnd"/>
            <w:r w:rsidRPr="00A37C1D">
              <w:rPr>
                <w:rFonts w:ascii="Calibri" w:hAnsi="Calibri" w:cs="Calibri"/>
                <w:lang w:val="en-US"/>
              </w:rPr>
              <w:t xml:space="preserve"> </w:t>
            </w:r>
            <w:proofErr w:type="spellStart"/>
            <w:r w:rsidRPr="00A37C1D">
              <w:rPr>
                <w:rFonts w:ascii="Calibri" w:hAnsi="Calibri" w:cs="Calibri"/>
                <w:lang w:val="en-US"/>
              </w:rPr>
              <w:t>სადგურებით</w:t>
            </w:r>
            <w:proofErr w:type="spellEnd"/>
            <w:r w:rsidRPr="00A37C1D">
              <w:rPr>
                <w:rFonts w:ascii="Calibri" w:hAnsi="Calibri" w:cs="Calibri"/>
                <w:lang w:val="en-US"/>
              </w:rPr>
              <w:t>).</w:t>
            </w:r>
          </w:p>
          <w:p w14:paraId="22DB068B" w14:textId="77777777" w:rsidR="00026DA7" w:rsidRPr="00A37C1D" w:rsidRDefault="00026DA7">
            <w:pPr>
              <w:jc w:val="both"/>
              <w:rPr>
                <w:rFonts w:ascii="Calibri" w:hAnsi="Calibri" w:cs="Calibri"/>
                <w:lang w:val="en-US"/>
              </w:rPr>
            </w:pPr>
          </w:p>
          <w:p w14:paraId="20795CF9" w14:textId="585B229C" w:rsidR="007E430E" w:rsidRPr="00A37C1D" w:rsidRDefault="004D7C96">
            <w:pPr>
              <w:jc w:val="both"/>
              <w:rPr>
                <w:rFonts w:ascii="Calibri" w:hAnsi="Calibri" w:cs="Calibri"/>
                <w:lang w:val="en-US"/>
              </w:rPr>
            </w:pPr>
            <w:proofErr w:type="spellStart"/>
            <w:proofErr w:type="gramStart"/>
            <w:r w:rsidRPr="00A37C1D">
              <w:rPr>
                <w:rFonts w:ascii="Calibri" w:hAnsi="Calibri" w:cs="Calibri"/>
                <w:lang w:val="en-US"/>
              </w:rPr>
              <w:t>გამომდინარე</w:t>
            </w:r>
            <w:proofErr w:type="spellEnd"/>
            <w:proofErr w:type="gramEnd"/>
            <w:r w:rsidRPr="00A37C1D">
              <w:rPr>
                <w:rFonts w:ascii="Calibri" w:hAnsi="Calibri" w:cs="Calibri"/>
                <w:lang w:val="en-US"/>
              </w:rPr>
              <w:t xml:space="preserve"> </w:t>
            </w:r>
            <w:proofErr w:type="spellStart"/>
            <w:r w:rsidRPr="00A37C1D">
              <w:rPr>
                <w:rFonts w:ascii="Calibri" w:hAnsi="Calibri" w:cs="Calibri"/>
                <w:lang w:val="en-US"/>
              </w:rPr>
              <w:t>იქედან</w:t>
            </w:r>
            <w:proofErr w:type="spellEnd"/>
            <w:r w:rsidRPr="00A37C1D">
              <w:rPr>
                <w:rFonts w:ascii="Calibri" w:hAnsi="Calibri" w:cs="Calibri"/>
                <w:lang w:val="en-US"/>
              </w:rPr>
              <w:t>, რომ</w:t>
            </w:r>
            <w:r w:rsidR="007E430E" w:rsidRPr="00A37C1D">
              <w:rPr>
                <w:rFonts w:ascii="Calibri" w:hAnsi="Calibri" w:cs="Calibri"/>
                <w:lang w:val="en-US"/>
              </w:rPr>
              <w:t xml:space="preserve"> </w:t>
            </w:r>
            <w:proofErr w:type="spellStart"/>
            <w:r w:rsidR="007E430E" w:rsidRPr="00A37C1D">
              <w:rPr>
                <w:rFonts w:ascii="Calibri" w:hAnsi="Calibri" w:cs="Calibri"/>
                <w:lang w:val="en-US"/>
              </w:rPr>
              <w:t>ეს</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სცენარი</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სრულად</w:t>
            </w:r>
            <w:proofErr w:type="spellEnd"/>
            <w:r w:rsidR="007E430E" w:rsidRPr="00A37C1D">
              <w:rPr>
                <w:rFonts w:ascii="Calibri" w:hAnsi="Calibri" w:cs="Calibri"/>
                <w:lang w:val="en-US"/>
              </w:rPr>
              <w:t xml:space="preserve"> </w:t>
            </w:r>
            <w:proofErr w:type="spellStart"/>
            <w:r w:rsidR="00026DA7" w:rsidRPr="00A37C1D">
              <w:rPr>
                <w:rFonts w:ascii="Calibri" w:hAnsi="Calibri" w:cs="Calibri"/>
                <w:lang w:val="en-US"/>
              </w:rPr>
              <w:t>ჰიპო</w:t>
            </w:r>
            <w:proofErr w:type="spellEnd"/>
            <w:r w:rsidR="00026DA7" w:rsidRPr="00A37C1D">
              <w:rPr>
                <w:rFonts w:ascii="Calibri" w:hAnsi="Calibri" w:cs="Calibri"/>
              </w:rPr>
              <w:t>თეტურია</w:t>
            </w:r>
            <w:r w:rsidR="00026DA7" w:rsidRPr="00A37C1D">
              <w:rPr>
                <w:rFonts w:ascii="Calibri" w:hAnsi="Calibri" w:cs="Calibri"/>
                <w:lang w:val="en-US"/>
              </w:rPr>
              <w:t xml:space="preserve">, </w:t>
            </w:r>
            <w:proofErr w:type="spellStart"/>
            <w:r w:rsidR="007E430E" w:rsidRPr="00A37C1D">
              <w:rPr>
                <w:rFonts w:ascii="Calibri" w:hAnsi="Calibri" w:cs="Calibri"/>
                <w:lang w:val="en-US"/>
              </w:rPr>
              <w:t>კონკრეტული</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სადგურების</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მითითება</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საჭირო</w:t>
            </w:r>
            <w:proofErr w:type="spellEnd"/>
            <w:r w:rsidR="007E430E" w:rsidRPr="00A37C1D">
              <w:rPr>
                <w:rFonts w:ascii="Calibri" w:hAnsi="Calibri" w:cs="Calibri"/>
                <w:lang w:val="en-US"/>
              </w:rPr>
              <w:t xml:space="preserve"> </w:t>
            </w:r>
            <w:proofErr w:type="spellStart"/>
            <w:r w:rsidRPr="00A37C1D">
              <w:rPr>
                <w:rFonts w:ascii="Calibri" w:hAnsi="Calibri" w:cs="Calibri"/>
                <w:lang w:val="en-US"/>
              </w:rPr>
              <w:t>არ</w:t>
            </w:r>
            <w:proofErr w:type="spellEnd"/>
            <w:r w:rsidRPr="00A37C1D">
              <w:rPr>
                <w:rFonts w:ascii="Calibri" w:hAnsi="Calibri" w:cs="Calibri"/>
                <w:lang w:val="en-US"/>
              </w:rPr>
              <w:t xml:space="preserve"> </w:t>
            </w:r>
            <w:r w:rsidR="007E430E" w:rsidRPr="00A37C1D">
              <w:rPr>
                <w:rFonts w:ascii="Calibri" w:hAnsi="Calibri" w:cs="Calibri"/>
                <w:lang w:val="en-US"/>
              </w:rPr>
              <w:t>არ</w:t>
            </w:r>
            <w:r w:rsidRPr="00A37C1D">
              <w:rPr>
                <w:rFonts w:ascii="Calibri" w:hAnsi="Calibri" w:cs="Calibri"/>
                <w:lang w:val="en-US"/>
              </w:rPr>
              <w:t>ის</w:t>
            </w:r>
            <w:r w:rsidR="007E430E" w:rsidRPr="00A37C1D">
              <w:rPr>
                <w:rFonts w:ascii="Calibri" w:hAnsi="Calibri" w:cs="Calibri"/>
                <w:lang w:val="en-US"/>
              </w:rPr>
              <w:t xml:space="preserve">. </w:t>
            </w:r>
            <w:proofErr w:type="spellStart"/>
            <w:r w:rsidR="007E430E" w:rsidRPr="00A37C1D">
              <w:rPr>
                <w:rFonts w:ascii="Calibri" w:hAnsi="Calibri" w:cs="Calibri"/>
                <w:lang w:val="en-US"/>
              </w:rPr>
              <w:t>თუ</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ასეთი</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სიტუაცია</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დადგებოდა</w:t>
            </w:r>
            <w:proofErr w:type="spellEnd"/>
            <w:r w:rsidR="007E430E" w:rsidRPr="00A37C1D">
              <w:rPr>
                <w:rFonts w:ascii="Calibri" w:hAnsi="Calibri" w:cs="Calibri"/>
                <w:lang w:val="en-US"/>
              </w:rPr>
              <w:t xml:space="preserve">, ამ </w:t>
            </w:r>
            <w:proofErr w:type="spellStart"/>
            <w:r w:rsidR="007E430E" w:rsidRPr="00A37C1D">
              <w:rPr>
                <w:rFonts w:ascii="Calibri" w:hAnsi="Calibri" w:cs="Calibri"/>
                <w:lang w:val="en-US"/>
              </w:rPr>
              <w:t>სიმძლავრეების</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მოძიება</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გახდებოდა</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საჭირო</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ან</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საჭირო</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იქნებოდა</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იმპორტის</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გაზრდა</w:t>
            </w:r>
            <w:proofErr w:type="spellEnd"/>
            <w:r w:rsidR="007E430E" w:rsidRPr="00A37C1D">
              <w:rPr>
                <w:rFonts w:ascii="Calibri" w:hAnsi="Calibri" w:cs="Calibri"/>
                <w:lang w:val="en-US"/>
              </w:rPr>
              <w:t xml:space="preserve">, რაც </w:t>
            </w:r>
            <w:proofErr w:type="spellStart"/>
            <w:r w:rsidR="007E430E" w:rsidRPr="00A37C1D">
              <w:rPr>
                <w:rFonts w:ascii="Calibri" w:hAnsi="Calibri" w:cs="Calibri"/>
                <w:lang w:val="en-US"/>
              </w:rPr>
              <w:t>ქვეყნის</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ენერგეტიკულ</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დამოუკიდებლობაზე</w:t>
            </w:r>
            <w:proofErr w:type="spellEnd"/>
            <w:r w:rsidR="007E430E" w:rsidRPr="00A37C1D">
              <w:rPr>
                <w:rFonts w:ascii="Calibri" w:hAnsi="Calibri" w:cs="Calibri"/>
                <w:lang w:val="en-US"/>
              </w:rPr>
              <w:t xml:space="preserve"> </w:t>
            </w:r>
            <w:r w:rsidR="00A8034E" w:rsidRPr="00A37C1D">
              <w:rPr>
                <w:rFonts w:ascii="Calibri" w:hAnsi="Calibri" w:cs="Calibri"/>
              </w:rPr>
              <w:t xml:space="preserve">უარყოფითად </w:t>
            </w:r>
            <w:proofErr w:type="spellStart"/>
            <w:r w:rsidR="007E430E" w:rsidRPr="00A37C1D">
              <w:rPr>
                <w:rFonts w:ascii="Calibri" w:hAnsi="Calibri" w:cs="Calibri"/>
                <w:lang w:val="en-US"/>
              </w:rPr>
              <w:t>აისახებოდა</w:t>
            </w:r>
            <w:proofErr w:type="spellEnd"/>
            <w:r w:rsidR="007E430E" w:rsidRPr="00A37C1D">
              <w:rPr>
                <w:rFonts w:ascii="Calibri" w:hAnsi="Calibri" w:cs="Calibri"/>
                <w:lang w:val="en-US"/>
              </w:rPr>
              <w:t xml:space="preserve">. ამ </w:t>
            </w:r>
            <w:proofErr w:type="spellStart"/>
            <w:r w:rsidR="007E430E" w:rsidRPr="00A37C1D">
              <w:rPr>
                <w:rFonts w:ascii="Calibri" w:hAnsi="Calibri" w:cs="Calibri"/>
                <w:lang w:val="en-US"/>
              </w:rPr>
              <w:t>ჰიპოტეზური</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სცენარის</w:t>
            </w:r>
            <w:proofErr w:type="spellEnd"/>
            <w:r w:rsidR="007E430E" w:rsidRPr="00A37C1D">
              <w:rPr>
                <w:rFonts w:ascii="Calibri" w:hAnsi="Calibri" w:cs="Calibri"/>
                <w:lang w:val="en-US"/>
              </w:rPr>
              <w:t xml:space="preserve"> გამოყენების </w:t>
            </w:r>
            <w:proofErr w:type="spellStart"/>
            <w:r w:rsidR="007E430E" w:rsidRPr="00A37C1D">
              <w:rPr>
                <w:rFonts w:ascii="Calibri" w:hAnsi="Calibri" w:cs="Calibri"/>
                <w:lang w:val="en-US"/>
              </w:rPr>
              <w:t>მთელი</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აზრი</w:t>
            </w:r>
            <w:proofErr w:type="spellEnd"/>
            <w:r w:rsidR="007E430E" w:rsidRPr="00A37C1D">
              <w:rPr>
                <w:rFonts w:ascii="Calibri" w:hAnsi="Calibri" w:cs="Calibri"/>
                <w:lang w:val="en-US"/>
              </w:rPr>
              <w:t xml:space="preserve"> არის </w:t>
            </w:r>
            <w:proofErr w:type="spellStart"/>
            <w:r w:rsidR="007E430E" w:rsidRPr="00A37C1D">
              <w:rPr>
                <w:rFonts w:ascii="Calibri" w:hAnsi="Calibri" w:cs="Calibri"/>
                <w:lang w:val="en-US"/>
              </w:rPr>
              <w:t>იმაში</w:t>
            </w:r>
            <w:proofErr w:type="spellEnd"/>
            <w:r w:rsidR="007E430E" w:rsidRPr="00A37C1D">
              <w:rPr>
                <w:rFonts w:ascii="Calibri" w:hAnsi="Calibri" w:cs="Calibri"/>
                <w:lang w:val="en-US"/>
              </w:rPr>
              <w:t xml:space="preserve">, რომ </w:t>
            </w:r>
            <w:proofErr w:type="spellStart"/>
            <w:r w:rsidR="006E7265" w:rsidRPr="00A37C1D">
              <w:rPr>
                <w:rFonts w:ascii="Calibri" w:hAnsi="Calibri" w:cs="Calibri"/>
                <w:lang w:val="en-US"/>
              </w:rPr>
              <w:t>ცხადი</w:t>
            </w:r>
            <w:proofErr w:type="spellEnd"/>
            <w:r w:rsidR="006E7265" w:rsidRPr="00A37C1D">
              <w:rPr>
                <w:rFonts w:ascii="Calibri" w:hAnsi="Calibri" w:cs="Calibri"/>
                <w:lang w:val="en-US"/>
              </w:rPr>
              <w:t xml:space="preserve"> </w:t>
            </w:r>
            <w:proofErr w:type="spellStart"/>
            <w:r w:rsidR="006E7265" w:rsidRPr="00A37C1D">
              <w:rPr>
                <w:rFonts w:ascii="Calibri" w:hAnsi="Calibri" w:cs="Calibri"/>
                <w:lang w:val="en-US"/>
              </w:rPr>
              <w:t>იყოს</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რამდენად</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უკეთესია</w:t>
            </w:r>
            <w:proofErr w:type="spellEnd"/>
            <w:r w:rsidR="007E430E" w:rsidRPr="00A37C1D">
              <w:rPr>
                <w:rFonts w:ascii="Calibri" w:hAnsi="Calibri" w:cs="Calibri"/>
                <w:lang w:val="en-US"/>
              </w:rPr>
              <w:t xml:space="preserve"> NECP </w:t>
            </w:r>
            <w:proofErr w:type="spellStart"/>
            <w:r w:rsidR="007E430E" w:rsidRPr="00A37C1D">
              <w:rPr>
                <w:rFonts w:ascii="Calibri" w:hAnsi="Calibri" w:cs="Calibri"/>
                <w:lang w:val="en-US"/>
              </w:rPr>
              <w:t>სცენარი</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პირველ</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რიგში</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ენერგოეფექტურობის</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ღონისძიებების</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გამო</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რომლებიც</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ამცირებენ</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ელექტროენერგიის</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ზრდა</w:t>
            </w:r>
            <w:proofErr w:type="spellEnd"/>
            <w:r w:rsidR="00A8034E" w:rsidRPr="00A37C1D">
              <w:rPr>
                <w:rFonts w:ascii="Calibri" w:hAnsi="Calibri" w:cs="Calibri"/>
              </w:rPr>
              <w:t>ს</w:t>
            </w:r>
            <w:r w:rsidR="007E430E" w:rsidRPr="00A37C1D">
              <w:rPr>
                <w:rFonts w:ascii="Calibri" w:hAnsi="Calibri" w:cs="Calibri"/>
                <w:lang w:val="en-US"/>
              </w:rPr>
              <w:t xml:space="preserve">, </w:t>
            </w:r>
            <w:proofErr w:type="spellStart"/>
            <w:r w:rsidR="007E430E" w:rsidRPr="00A37C1D">
              <w:rPr>
                <w:rFonts w:ascii="Calibri" w:hAnsi="Calibri" w:cs="Calibri"/>
                <w:lang w:val="en-US"/>
              </w:rPr>
              <w:t>ხოლო</w:t>
            </w:r>
            <w:proofErr w:type="spellEnd"/>
            <w:r w:rsidR="007E430E" w:rsidRPr="00A37C1D">
              <w:rPr>
                <w:rFonts w:ascii="Calibri" w:hAnsi="Calibri" w:cs="Calibri"/>
                <w:lang w:val="en-US"/>
              </w:rPr>
              <w:t xml:space="preserve"> </w:t>
            </w:r>
            <w:r w:rsidR="00A8034E" w:rsidRPr="00A37C1D">
              <w:rPr>
                <w:rFonts w:ascii="Calibri" w:hAnsi="Calibri" w:cs="Calibri"/>
              </w:rPr>
              <w:t>მეორეს მხრივ</w:t>
            </w:r>
            <w:r w:rsidR="007E430E" w:rsidRPr="00A37C1D">
              <w:rPr>
                <w:rFonts w:ascii="Calibri" w:hAnsi="Calibri" w:cs="Calibri"/>
                <w:lang w:val="en-US"/>
              </w:rPr>
              <w:t xml:space="preserve"> </w:t>
            </w:r>
            <w:proofErr w:type="spellStart"/>
            <w:r w:rsidR="007E430E" w:rsidRPr="00A37C1D">
              <w:rPr>
                <w:rFonts w:ascii="Calibri" w:hAnsi="Calibri" w:cs="Calibri"/>
                <w:lang w:val="en-US"/>
              </w:rPr>
              <w:t>კი</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უფრო</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დივერსიფიცირებული</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გენერაციის</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სიმძლავრის</w:t>
            </w:r>
            <w:proofErr w:type="spellEnd"/>
            <w:r w:rsidR="007E430E" w:rsidRPr="00A37C1D">
              <w:rPr>
                <w:rFonts w:ascii="Calibri" w:hAnsi="Calibri" w:cs="Calibri"/>
                <w:lang w:val="en-US"/>
              </w:rPr>
              <w:t xml:space="preserve"> </w:t>
            </w:r>
            <w:proofErr w:type="spellStart"/>
            <w:r w:rsidR="007E430E" w:rsidRPr="00A37C1D">
              <w:rPr>
                <w:rFonts w:ascii="Calibri" w:hAnsi="Calibri" w:cs="Calibri"/>
                <w:lang w:val="en-US"/>
              </w:rPr>
              <w:t>გამო</w:t>
            </w:r>
            <w:proofErr w:type="spellEnd"/>
            <w:r w:rsidR="007E430E" w:rsidRPr="00A37C1D">
              <w:rPr>
                <w:rFonts w:ascii="Calibri" w:hAnsi="Calibri" w:cs="Calibri"/>
                <w:lang w:val="en-US"/>
              </w:rPr>
              <w:t>.</w:t>
            </w:r>
          </w:p>
          <w:p w14:paraId="56CB1C93" w14:textId="77777777" w:rsidR="00A8034E" w:rsidRPr="00A37C1D" w:rsidRDefault="00A8034E">
            <w:pPr>
              <w:jc w:val="both"/>
              <w:rPr>
                <w:rFonts w:ascii="Calibri" w:hAnsi="Calibri" w:cs="Calibri"/>
                <w:lang w:val="en-US"/>
              </w:rPr>
            </w:pPr>
          </w:p>
          <w:p w14:paraId="297B6690" w14:textId="25E1D670" w:rsidR="004E4369" w:rsidRPr="00A37C1D" w:rsidRDefault="007E430E" w:rsidP="00A8034E">
            <w:pPr>
              <w:jc w:val="both"/>
              <w:rPr>
                <w:rFonts w:ascii="Calibri" w:hAnsi="Calibri" w:cs="Calibri"/>
                <w:lang w:val="en-US"/>
              </w:rPr>
            </w:pPr>
            <w:r w:rsidRPr="00A37C1D">
              <w:rPr>
                <w:rFonts w:ascii="Calibri" w:hAnsi="Calibri" w:cs="Calibri"/>
                <w:lang w:val="en-US"/>
              </w:rPr>
              <w:t>NECP-</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დოკუმენტით</w:t>
            </w:r>
            <w:proofErr w:type="spellEnd"/>
            <w:r w:rsidRPr="00A37C1D">
              <w:rPr>
                <w:rFonts w:ascii="Calibri" w:hAnsi="Calibri" w:cs="Calibri"/>
                <w:lang w:val="en-US"/>
              </w:rPr>
              <w:t xml:space="preserve"> </w:t>
            </w:r>
            <w:proofErr w:type="spellStart"/>
            <w:r w:rsidRPr="00A37C1D">
              <w:rPr>
                <w:rFonts w:ascii="Calibri" w:hAnsi="Calibri" w:cs="Calibri"/>
                <w:lang w:val="en-US"/>
              </w:rPr>
              <w:t>ქვეყანა</w:t>
            </w:r>
            <w:proofErr w:type="spellEnd"/>
            <w:r w:rsidRPr="00A37C1D">
              <w:rPr>
                <w:rFonts w:ascii="Calibri" w:hAnsi="Calibri" w:cs="Calibri"/>
                <w:lang w:val="en-US"/>
              </w:rPr>
              <w:t xml:space="preserve"> </w:t>
            </w:r>
            <w:proofErr w:type="spellStart"/>
            <w:r w:rsidRPr="00A37C1D">
              <w:rPr>
                <w:rFonts w:ascii="Calibri" w:hAnsi="Calibri" w:cs="Calibri"/>
                <w:lang w:val="en-US"/>
              </w:rPr>
              <w:t>აკეთებს</w:t>
            </w:r>
            <w:proofErr w:type="spellEnd"/>
            <w:r w:rsidRPr="00A37C1D">
              <w:rPr>
                <w:rFonts w:ascii="Calibri" w:hAnsi="Calibri" w:cs="Calibri"/>
                <w:lang w:val="en-US"/>
              </w:rPr>
              <w:t xml:space="preserve"> </w:t>
            </w:r>
            <w:proofErr w:type="spellStart"/>
            <w:r w:rsidRPr="00A37C1D">
              <w:rPr>
                <w:rFonts w:ascii="Calibri" w:hAnsi="Calibri" w:cs="Calibri"/>
                <w:lang w:val="en-US"/>
              </w:rPr>
              <w:t>იმის</w:t>
            </w:r>
            <w:proofErr w:type="spellEnd"/>
            <w:r w:rsidRPr="00A37C1D">
              <w:rPr>
                <w:rFonts w:ascii="Calibri" w:hAnsi="Calibri" w:cs="Calibri"/>
                <w:lang w:val="en-US"/>
              </w:rPr>
              <w:t xml:space="preserve"> </w:t>
            </w:r>
            <w:r w:rsidR="00A8034E" w:rsidRPr="00A37C1D">
              <w:rPr>
                <w:rFonts w:ascii="Calibri" w:hAnsi="Calibri" w:cs="Calibri"/>
              </w:rPr>
              <w:t>დეკლარირებას</w:t>
            </w:r>
            <w:r w:rsidRPr="00A37C1D">
              <w:rPr>
                <w:rFonts w:ascii="Calibri" w:hAnsi="Calibri" w:cs="Calibri"/>
                <w:lang w:val="en-US"/>
              </w:rPr>
              <w:t xml:space="preserve">, რომ </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proofErr w:type="gramStart"/>
            <w:r w:rsidRPr="00A37C1D">
              <w:rPr>
                <w:rFonts w:ascii="Calibri" w:hAnsi="Calibri" w:cs="Calibri"/>
                <w:lang w:val="en-US"/>
              </w:rPr>
              <w:t>განვი</w:t>
            </w:r>
            <w:proofErr w:type="spellEnd"/>
            <w:r w:rsidR="00A8034E" w:rsidRPr="00A37C1D">
              <w:rPr>
                <w:rFonts w:ascii="Calibri" w:hAnsi="Calibri" w:cs="Calibri"/>
              </w:rPr>
              <w:t>თ</w:t>
            </w:r>
            <w:proofErr w:type="spellStart"/>
            <w:r w:rsidRPr="00A37C1D">
              <w:rPr>
                <w:rFonts w:ascii="Calibri" w:hAnsi="Calibri" w:cs="Calibri"/>
                <w:lang w:val="en-US"/>
              </w:rPr>
              <w:t>არდება</w:t>
            </w:r>
            <w:proofErr w:type="spellEnd"/>
            <w:r w:rsidRPr="00A37C1D">
              <w:rPr>
                <w:rFonts w:ascii="Calibri" w:hAnsi="Calibri" w:cs="Calibri"/>
                <w:lang w:val="en-US"/>
              </w:rPr>
              <w:t xml:space="preserve">  NECP</w:t>
            </w:r>
            <w:proofErr w:type="gramEnd"/>
            <w:r w:rsidRPr="00A37C1D">
              <w:rPr>
                <w:rFonts w:ascii="Calibri" w:hAnsi="Calibri" w:cs="Calibri"/>
                <w:lang w:val="en-US"/>
              </w:rPr>
              <w:t xml:space="preserve"> </w:t>
            </w:r>
            <w:proofErr w:type="spellStart"/>
            <w:r w:rsidRPr="00A37C1D">
              <w:rPr>
                <w:rFonts w:ascii="Calibri" w:hAnsi="Calibri" w:cs="Calibri"/>
                <w:lang w:val="en-US"/>
              </w:rPr>
              <w:t>სცენარით</w:t>
            </w:r>
            <w:proofErr w:type="spellEnd"/>
            <w:r w:rsidRPr="00A37C1D">
              <w:rPr>
                <w:rFonts w:ascii="Calibri" w:hAnsi="Calibri" w:cs="Calibri"/>
                <w:lang w:val="en-US"/>
              </w:rPr>
              <w:t xml:space="preserve"> და </w:t>
            </w:r>
            <w:proofErr w:type="spellStart"/>
            <w:r w:rsidRPr="00A37C1D">
              <w:rPr>
                <w:rFonts w:ascii="Calibri" w:hAnsi="Calibri" w:cs="Calibri"/>
                <w:lang w:val="en-US"/>
              </w:rPr>
              <w:t>არა</w:t>
            </w:r>
            <w:proofErr w:type="spellEnd"/>
            <w:r w:rsidRPr="00A37C1D">
              <w:rPr>
                <w:rFonts w:ascii="Calibri" w:hAnsi="Calibri" w:cs="Calibri"/>
                <w:lang w:val="en-US"/>
              </w:rPr>
              <w:t xml:space="preserve"> „</w:t>
            </w:r>
            <w:proofErr w:type="spellStart"/>
            <w:r w:rsidRPr="00A37C1D">
              <w:rPr>
                <w:rFonts w:ascii="Calibri" w:hAnsi="Calibri" w:cs="Calibri"/>
                <w:lang w:val="en-US"/>
              </w:rPr>
              <w:t>არსებული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ღონისძიებებით</w:t>
            </w:r>
            <w:proofErr w:type="spellEnd"/>
            <w:r w:rsidRPr="00A37C1D">
              <w:rPr>
                <w:rFonts w:ascii="Calibri" w:hAnsi="Calibri" w:cs="Calibri"/>
                <w:lang w:val="en-US"/>
              </w:rPr>
              <w:t xml:space="preserve">“(WEM) </w:t>
            </w:r>
            <w:proofErr w:type="spellStart"/>
            <w:r w:rsidRPr="00A37C1D">
              <w:rPr>
                <w:rFonts w:ascii="Calibri" w:hAnsi="Calibri" w:cs="Calibri"/>
                <w:lang w:val="en-US"/>
              </w:rPr>
              <w:t>სცენარით</w:t>
            </w:r>
            <w:proofErr w:type="spellEnd"/>
            <w:r w:rsidRPr="00A37C1D">
              <w:rPr>
                <w:rFonts w:ascii="Calibri" w:hAnsi="Calibri" w:cs="Calibri"/>
                <w:lang w:val="en-US"/>
              </w:rPr>
              <w:t xml:space="preserve">. </w:t>
            </w:r>
          </w:p>
        </w:tc>
      </w:tr>
      <w:tr w:rsidR="004E4369" w:rsidRPr="00A37C1D" w14:paraId="3F4CAFBD" w14:textId="77777777" w:rsidTr="00346E59">
        <w:tc>
          <w:tcPr>
            <w:tcW w:w="562" w:type="dxa"/>
          </w:tcPr>
          <w:p w14:paraId="6DC6C763" w14:textId="77777777" w:rsidR="004E4369" w:rsidRPr="00A37C1D" w:rsidRDefault="004E4369">
            <w:pPr>
              <w:pStyle w:val="ListParagraph"/>
              <w:numPr>
                <w:ilvl w:val="0"/>
                <w:numId w:val="7"/>
              </w:numPr>
              <w:rPr>
                <w:rFonts w:ascii="Calibri" w:hAnsi="Calibri" w:cs="Calibri"/>
              </w:rPr>
            </w:pPr>
          </w:p>
        </w:tc>
        <w:tc>
          <w:tcPr>
            <w:tcW w:w="5528" w:type="dxa"/>
          </w:tcPr>
          <w:p w14:paraId="434C3521" w14:textId="77777777" w:rsidR="004E4369" w:rsidRPr="00A37C1D" w:rsidRDefault="004E4369">
            <w:pPr>
              <w:jc w:val="both"/>
              <w:rPr>
                <w:rFonts w:ascii="Calibri" w:eastAsia="Arial Unicode MS" w:hAnsi="Calibri" w:cs="Calibri"/>
              </w:rPr>
            </w:pPr>
            <w:r w:rsidRPr="00A37C1D">
              <w:rPr>
                <w:rFonts w:ascii="Calibri" w:eastAsia="Arial Unicode MS" w:hAnsi="Calibri" w:cs="Calibri"/>
              </w:rPr>
              <w:t xml:space="preserve">საქართველოს ენერგეტიკისა და კლიმატის ეროვნულ ინტეგრირებულ  გეგმასა (NECP) და სტრატეგიული გარემოსდაცვითი შეფასების ანგარიშში მოცემული განახლებადი ენერგიის წყაროების (ობიექტების) ჯამური დადგმული სიმძლავრე 863 მგვტ-ია. დაზუსტებას საჭიროებს, მითითებული ობიექტების გარდა, კიდევ  რომელი ობიექტების განხორციელებაა </w:t>
            </w:r>
            <w:r w:rsidRPr="00A37C1D">
              <w:rPr>
                <w:rFonts w:ascii="Calibri" w:eastAsia="Arial Unicode MS" w:hAnsi="Calibri" w:cs="Calibri"/>
              </w:rPr>
              <w:lastRenderedPageBreak/>
              <w:t xml:space="preserve">დაგეგმილი 2030 წლამდე სამიზნე 1944 მგვტ სიმძლავრის  ექსპლუატაციაში შესაყვანად; </w:t>
            </w:r>
          </w:p>
          <w:p w14:paraId="7DDC024B" w14:textId="77777777" w:rsidR="004E4369" w:rsidRPr="00A37C1D" w:rsidRDefault="004E4369">
            <w:pPr>
              <w:jc w:val="both"/>
              <w:rPr>
                <w:rFonts w:ascii="Calibri" w:eastAsia="Arial Unicode MS" w:hAnsi="Calibri" w:cs="Calibri"/>
              </w:rPr>
            </w:pPr>
          </w:p>
        </w:tc>
        <w:tc>
          <w:tcPr>
            <w:tcW w:w="8363" w:type="dxa"/>
          </w:tcPr>
          <w:p w14:paraId="48ECCBA1" w14:textId="58D439E0" w:rsidR="004E4369" w:rsidRPr="00A37C1D" w:rsidRDefault="00D036C6">
            <w:pPr>
              <w:jc w:val="both"/>
              <w:rPr>
                <w:rFonts w:ascii="Calibri" w:hAnsi="Calibri" w:cs="Calibri"/>
                <w:lang w:val="en-US"/>
              </w:rPr>
            </w:pPr>
            <w:r w:rsidRPr="00A37C1D">
              <w:rPr>
                <w:rFonts w:ascii="Calibri" w:hAnsi="Calibri" w:cs="Calibri"/>
                <w:lang w:val="en-US"/>
              </w:rPr>
              <w:lastRenderedPageBreak/>
              <w:t>NECP-</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დოკუმენტში</w:t>
            </w:r>
            <w:proofErr w:type="spellEnd"/>
            <w:r w:rsidRPr="00A37C1D">
              <w:rPr>
                <w:rFonts w:ascii="Calibri" w:hAnsi="Calibri" w:cs="Calibri"/>
                <w:lang w:val="en-US"/>
              </w:rPr>
              <w:t xml:space="preserve"> </w:t>
            </w:r>
            <w:proofErr w:type="spellStart"/>
            <w:r w:rsidRPr="00A37C1D">
              <w:rPr>
                <w:rFonts w:ascii="Calibri" w:hAnsi="Calibri" w:cs="Calibri"/>
                <w:lang w:val="en-US"/>
              </w:rPr>
              <w:t>არ</w:t>
            </w:r>
            <w:proofErr w:type="spellEnd"/>
            <w:r w:rsidRPr="00A37C1D">
              <w:rPr>
                <w:rFonts w:ascii="Calibri" w:hAnsi="Calibri" w:cs="Calibri"/>
                <w:lang w:val="en-US"/>
              </w:rPr>
              <w:t xml:space="preserve"> </w:t>
            </w:r>
            <w:proofErr w:type="spellStart"/>
            <w:r w:rsidRPr="00A37C1D">
              <w:rPr>
                <w:rFonts w:ascii="Calibri" w:hAnsi="Calibri" w:cs="Calibri"/>
                <w:lang w:val="en-US"/>
              </w:rPr>
              <w:t>ხდება</w:t>
            </w:r>
            <w:proofErr w:type="spellEnd"/>
            <w:r w:rsidRPr="00A37C1D">
              <w:rPr>
                <w:rFonts w:ascii="Calibri" w:hAnsi="Calibri" w:cs="Calibri"/>
                <w:lang w:val="en-US"/>
              </w:rPr>
              <w:t xml:space="preserve"> </w:t>
            </w:r>
            <w:proofErr w:type="spellStart"/>
            <w:r w:rsidRPr="00A37C1D">
              <w:rPr>
                <w:rFonts w:ascii="Calibri" w:hAnsi="Calibri" w:cs="Calibri"/>
                <w:lang w:val="en-US"/>
              </w:rPr>
              <w:t>კონკრეტული</w:t>
            </w:r>
            <w:proofErr w:type="spellEnd"/>
            <w:r w:rsidRPr="00A37C1D">
              <w:rPr>
                <w:rFonts w:ascii="Calibri" w:hAnsi="Calibri" w:cs="Calibri"/>
                <w:lang w:val="en-US"/>
              </w:rPr>
              <w:t xml:space="preserve"> </w:t>
            </w:r>
            <w:proofErr w:type="spellStart"/>
            <w:r w:rsidRPr="00A37C1D">
              <w:rPr>
                <w:rFonts w:ascii="Calibri" w:hAnsi="Calibri" w:cs="Calibri"/>
                <w:lang w:val="en-US"/>
              </w:rPr>
              <w:t>სადგურების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მითითება</w:t>
            </w:r>
            <w:proofErr w:type="spellEnd"/>
            <w:r w:rsidRPr="00A37C1D">
              <w:rPr>
                <w:rFonts w:ascii="Calibri" w:hAnsi="Calibri" w:cs="Calibri"/>
                <w:lang w:val="en-US"/>
              </w:rPr>
              <w:t xml:space="preserve">, </w:t>
            </w:r>
            <w:proofErr w:type="spellStart"/>
            <w:r w:rsidRPr="00A37C1D">
              <w:rPr>
                <w:rFonts w:ascii="Calibri" w:hAnsi="Calibri" w:cs="Calibri"/>
                <w:lang w:val="en-US"/>
              </w:rPr>
              <w:t>რადგან</w:t>
            </w:r>
            <w:proofErr w:type="spellEnd"/>
            <w:r w:rsidRPr="00A37C1D">
              <w:rPr>
                <w:rFonts w:ascii="Calibri" w:hAnsi="Calibri" w:cs="Calibri"/>
                <w:lang w:val="en-US"/>
              </w:rPr>
              <w:t xml:space="preserve"> </w:t>
            </w:r>
            <w:proofErr w:type="spellStart"/>
            <w:r w:rsidRPr="00A37C1D">
              <w:rPr>
                <w:rFonts w:ascii="Calibri" w:hAnsi="Calibri" w:cs="Calibri"/>
                <w:lang w:val="en-US"/>
              </w:rPr>
              <w:t>გარდა</w:t>
            </w:r>
            <w:proofErr w:type="spellEnd"/>
            <w:r w:rsidRPr="00A37C1D">
              <w:rPr>
                <w:rFonts w:ascii="Calibri" w:hAnsi="Calibri" w:cs="Calibri"/>
                <w:lang w:val="en-US"/>
              </w:rPr>
              <w:t xml:space="preserve"> ძალიან </w:t>
            </w:r>
            <w:proofErr w:type="spellStart"/>
            <w:r w:rsidRPr="00A37C1D">
              <w:rPr>
                <w:rFonts w:ascii="Calibri" w:hAnsi="Calibri" w:cs="Calibri"/>
                <w:lang w:val="en-US"/>
              </w:rPr>
              <w:t>მს</w:t>
            </w:r>
            <w:r w:rsidR="006E7265" w:rsidRPr="00A37C1D">
              <w:rPr>
                <w:rFonts w:ascii="Calibri" w:hAnsi="Calibri" w:cs="Calibri"/>
                <w:lang w:val="en-US"/>
              </w:rPr>
              <w:t>ხ</w:t>
            </w:r>
            <w:r w:rsidRPr="00A37C1D">
              <w:rPr>
                <w:rFonts w:ascii="Calibri" w:hAnsi="Calibri" w:cs="Calibri"/>
                <w:lang w:val="en-US"/>
              </w:rPr>
              <w:t>ვილი</w:t>
            </w:r>
            <w:proofErr w:type="spellEnd"/>
            <w:r w:rsidRPr="00A37C1D">
              <w:rPr>
                <w:rFonts w:ascii="Calibri" w:hAnsi="Calibri" w:cs="Calibri"/>
                <w:lang w:val="en-US"/>
              </w:rPr>
              <w:t xml:space="preserve"> </w:t>
            </w:r>
            <w:proofErr w:type="spellStart"/>
            <w:r w:rsidRPr="00A37C1D">
              <w:rPr>
                <w:rFonts w:ascii="Calibri" w:hAnsi="Calibri" w:cs="Calibri"/>
                <w:lang w:val="en-US"/>
              </w:rPr>
              <w:t>პროექტებისა</w:t>
            </w:r>
            <w:proofErr w:type="spellEnd"/>
            <w:r w:rsidRPr="00A37C1D">
              <w:rPr>
                <w:rFonts w:ascii="Calibri" w:hAnsi="Calibri" w:cs="Calibri"/>
                <w:lang w:val="en-US"/>
              </w:rPr>
              <w:t xml:space="preserve">, </w:t>
            </w:r>
            <w:proofErr w:type="spellStart"/>
            <w:r w:rsidRPr="00A37C1D">
              <w:rPr>
                <w:rFonts w:ascii="Calibri" w:hAnsi="Calibri" w:cs="Calibri"/>
                <w:lang w:val="en-US"/>
              </w:rPr>
              <w:t>რომელთა</w:t>
            </w:r>
            <w:proofErr w:type="spellEnd"/>
            <w:r w:rsidRPr="00A37C1D">
              <w:rPr>
                <w:rFonts w:ascii="Calibri" w:hAnsi="Calibri" w:cs="Calibri"/>
                <w:lang w:val="en-US"/>
              </w:rPr>
              <w:t xml:space="preserve"> </w:t>
            </w:r>
            <w:proofErr w:type="spellStart"/>
            <w:r w:rsidRPr="00A37C1D">
              <w:rPr>
                <w:rFonts w:ascii="Calibri" w:hAnsi="Calibri" w:cs="Calibri"/>
                <w:lang w:val="en-US"/>
              </w:rPr>
              <w:t>გადაწყვეტაც</w:t>
            </w:r>
            <w:proofErr w:type="spellEnd"/>
            <w:r w:rsidRPr="00A37C1D">
              <w:rPr>
                <w:rFonts w:ascii="Calibri" w:hAnsi="Calibri" w:cs="Calibri"/>
                <w:lang w:val="en-US"/>
              </w:rPr>
              <w:t xml:space="preserve"> </w:t>
            </w:r>
            <w:proofErr w:type="spellStart"/>
            <w:r w:rsidRPr="00A37C1D">
              <w:rPr>
                <w:rFonts w:ascii="Calibri" w:hAnsi="Calibri" w:cs="Calibri"/>
                <w:lang w:val="en-US"/>
              </w:rPr>
              <w:t>შეიძლება</w:t>
            </w:r>
            <w:proofErr w:type="spellEnd"/>
            <w:r w:rsidRPr="00A37C1D">
              <w:rPr>
                <w:rFonts w:ascii="Calibri" w:hAnsi="Calibri" w:cs="Calibri"/>
                <w:lang w:val="en-US"/>
              </w:rPr>
              <w:t xml:space="preserve"> </w:t>
            </w:r>
            <w:proofErr w:type="spellStart"/>
            <w:r w:rsidRPr="00A37C1D">
              <w:rPr>
                <w:rFonts w:ascii="Calibri" w:hAnsi="Calibri" w:cs="Calibri"/>
                <w:lang w:val="en-US"/>
              </w:rPr>
              <w:t>მოხდეს</w:t>
            </w:r>
            <w:proofErr w:type="spellEnd"/>
            <w:r w:rsidRPr="00A37C1D">
              <w:rPr>
                <w:rFonts w:ascii="Calibri" w:hAnsi="Calibri" w:cs="Calibri"/>
                <w:lang w:val="en-US"/>
              </w:rPr>
              <w:t xml:space="preserve"> </w:t>
            </w:r>
            <w:proofErr w:type="spellStart"/>
            <w:r w:rsidR="00701F6E" w:rsidRPr="00A37C1D">
              <w:rPr>
                <w:rFonts w:ascii="Calibri" w:hAnsi="Calibri" w:cs="Calibri"/>
                <w:lang w:val="en-US"/>
              </w:rPr>
              <w:t>ეროვნულ</w:t>
            </w:r>
            <w:proofErr w:type="spellEnd"/>
            <w:r w:rsidRPr="00A37C1D">
              <w:rPr>
                <w:rFonts w:ascii="Calibri" w:hAnsi="Calibri" w:cs="Calibri"/>
                <w:lang w:val="en-US"/>
              </w:rPr>
              <w:t xml:space="preserve"> </w:t>
            </w:r>
            <w:proofErr w:type="spellStart"/>
            <w:r w:rsidRPr="00A37C1D">
              <w:rPr>
                <w:rFonts w:ascii="Calibri" w:hAnsi="Calibri" w:cs="Calibri"/>
                <w:lang w:val="en-US"/>
              </w:rPr>
              <w:t>დონეზე</w:t>
            </w:r>
            <w:proofErr w:type="spellEnd"/>
            <w:r w:rsidRPr="00A37C1D">
              <w:rPr>
                <w:rFonts w:ascii="Calibri" w:hAnsi="Calibri" w:cs="Calibri"/>
                <w:lang w:val="en-US"/>
              </w:rPr>
              <w:t xml:space="preserve">, </w:t>
            </w:r>
            <w:proofErr w:type="spellStart"/>
            <w:r w:rsidRPr="00A37C1D">
              <w:rPr>
                <w:rFonts w:ascii="Calibri" w:hAnsi="Calibri" w:cs="Calibri"/>
                <w:lang w:val="en-US"/>
              </w:rPr>
              <w:t>წინასწარ</w:t>
            </w:r>
            <w:proofErr w:type="spellEnd"/>
            <w:r w:rsidRPr="00A37C1D">
              <w:rPr>
                <w:rFonts w:ascii="Calibri" w:hAnsi="Calibri" w:cs="Calibri"/>
                <w:lang w:val="en-US"/>
              </w:rPr>
              <w:t xml:space="preserve"> </w:t>
            </w:r>
            <w:proofErr w:type="spellStart"/>
            <w:r w:rsidRPr="00A37C1D">
              <w:rPr>
                <w:rFonts w:ascii="Calibri" w:hAnsi="Calibri" w:cs="Calibri"/>
                <w:lang w:val="en-US"/>
              </w:rPr>
              <w:t>უცნობია</w:t>
            </w:r>
            <w:proofErr w:type="spellEnd"/>
            <w:r w:rsidRPr="00A37C1D">
              <w:rPr>
                <w:rFonts w:ascii="Calibri" w:hAnsi="Calibri" w:cs="Calibri"/>
                <w:lang w:val="en-US"/>
              </w:rPr>
              <w:t xml:space="preserve"> </w:t>
            </w:r>
            <w:proofErr w:type="spellStart"/>
            <w:r w:rsidRPr="00A37C1D">
              <w:rPr>
                <w:rFonts w:ascii="Calibri" w:hAnsi="Calibri" w:cs="Calibri"/>
                <w:lang w:val="en-US"/>
              </w:rPr>
              <w:t>თუ</w:t>
            </w:r>
            <w:proofErr w:type="spellEnd"/>
            <w:r w:rsidRPr="00A37C1D">
              <w:rPr>
                <w:rFonts w:ascii="Calibri" w:hAnsi="Calibri" w:cs="Calibri"/>
                <w:lang w:val="en-US"/>
              </w:rPr>
              <w:t xml:space="preserve"> </w:t>
            </w:r>
            <w:proofErr w:type="spellStart"/>
            <w:r w:rsidRPr="00A37C1D">
              <w:rPr>
                <w:rFonts w:ascii="Calibri" w:hAnsi="Calibri" w:cs="Calibri"/>
                <w:lang w:val="en-US"/>
              </w:rPr>
              <w:t>რომელი</w:t>
            </w:r>
            <w:proofErr w:type="spellEnd"/>
            <w:r w:rsidRPr="00A37C1D">
              <w:rPr>
                <w:rFonts w:ascii="Calibri" w:hAnsi="Calibri" w:cs="Calibri"/>
                <w:lang w:val="en-US"/>
              </w:rPr>
              <w:t xml:space="preserve"> </w:t>
            </w:r>
            <w:proofErr w:type="spellStart"/>
            <w:r w:rsidRPr="00A37C1D">
              <w:rPr>
                <w:rFonts w:ascii="Calibri" w:hAnsi="Calibri" w:cs="Calibri"/>
                <w:lang w:val="en-US"/>
              </w:rPr>
              <w:t>სადგურები</w:t>
            </w:r>
            <w:proofErr w:type="spellEnd"/>
            <w:r w:rsidRPr="00A37C1D">
              <w:rPr>
                <w:rFonts w:ascii="Calibri" w:hAnsi="Calibri" w:cs="Calibri"/>
                <w:lang w:val="en-US"/>
              </w:rPr>
              <w:t xml:space="preserve"> </w:t>
            </w:r>
            <w:proofErr w:type="spellStart"/>
            <w:r w:rsidRPr="00A37C1D">
              <w:rPr>
                <w:rFonts w:ascii="Calibri" w:hAnsi="Calibri" w:cs="Calibri"/>
                <w:lang w:val="en-US"/>
              </w:rPr>
              <w:t>აშენდება</w:t>
            </w:r>
            <w:proofErr w:type="spellEnd"/>
            <w:r w:rsidRPr="00A37C1D">
              <w:rPr>
                <w:rFonts w:ascii="Calibri" w:hAnsi="Calibri" w:cs="Calibri"/>
                <w:lang w:val="en-US"/>
              </w:rPr>
              <w:t xml:space="preserve">. </w:t>
            </w:r>
            <w:proofErr w:type="spellStart"/>
            <w:proofErr w:type="gramStart"/>
            <w:r w:rsidRPr="00A37C1D">
              <w:rPr>
                <w:rFonts w:ascii="Calibri" w:hAnsi="Calibri" w:cs="Calibri"/>
                <w:lang w:val="en-US"/>
              </w:rPr>
              <w:t>მაგალითად</w:t>
            </w:r>
            <w:proofErr w:type="spellEnd"/>
            <w:proofErr w:type="gramEnd"/>
            <w:r w:rsidRPr="00A37C1D">
              <w:rPr>
                <w:rFonts w:ascii="Calibri" w:hAnsi="Calibri" w:cs="Calibri"/>
                <w:lang w:val="en-US"/>
              </w:rPr>
              <w:t xml:space="preserve"> </w:t>
            </w:r>
            <w:proofErr w:type="spellStart"/>
            <w:r w:rsidR="00701F6E" w:rsidRPr="00A37C1D">
              <w:rPr>
                <w:rFonts w:ascii="Calibri" w:hAnsi="Calibri" w:cs="Calibri"/>
                <w:lang w:val="en-US"/>
              </w:rPr>
              <w:t>შეუძლებელია</w:t>
            </w:r>
            <w:proofErr w:type="spellEnd"/>
            <w:r w:rsidR="00701F6E" w:rsidRPr="00A37C1D">
              <w:rPr>
                <w:rFonts w:ascii="Calibri" w:hAnsi="Calibri" w:cs="Calibri"/>
                <w:lang w:val="en-US"/>
              </w:rPr>
              <w:t xml:space="preserve"> </w:t>
            </w:r>
            <w:proofErr w:type="spellStart"/>
            <w:r w:rsidRPr="00A37C1D">
              <w:rPr>
                <w:rFonts w:ascii="Calibri" w:hAnsi="Calibri" w:cs="Calibri"/>
                <w:lang w:val="en-US"/>
              </w:rPr>
              <w:t>წინასწარ</w:t>
            </w:r>
            <w:proofErr w:type="spellEnd"/>
            <w:r w:rsidRPr="00A37C1D">
              <w:rPr>
                <w:rFonts w:ascii="Calibri" w:hAnsi="Calibri" w:cs="Calibri"/>
                <w:lang w:val="en-US"/>
              </w:rPr>
              <w:t xml:space="preserve"> </w:t>
            </w:r>
            <w:r w:rsidR="00701F6E" w:rsidRPr="00A37C1D">
              <w:rPr>
                <w:rFonts w:ascii="Calibri" w:hAnsi="Calibri" w:cs="Calibri"/>
              </w:rPr>
              <w:t xml:space="preserve">განსაზღვრა </w:t>
            </w:r>
            <w:r w:rsidRPr="00A37C1D">
              <w:rPr>
                <w:rFonts w:ascii="Calibri" w:hAnsi="Calibri" w:cs="Calibri"/>
                <w:lang w:val="en-US"/>
              </w:rPr>
              <w:t xml:space="preserve"> </w:t>
            </w:r>
            <w:proofErr w:type="spellStart"/>
            <w:r w:rsidRPr="00A37C1D">
              <w:rPr>
                <w:rFonts w:ascii="Calibri" w:hAnsi="Calibri" w:cs="Calibri"/>
                <w:lang w:val="en-US"/>
              </w:rPr>
              <w:t>თუ</w:t>
            </w:r>
            <w:proofErr w:type="spellEnd"/>
            <w:r w:rsidRPr="00A37C1D">
              <w:rPr>
                <w:rFonts w:ascii="Calibri" w:hAnsi="Calibri" w:cs="Calibri"/>
                <w:lang w:val="en-US"/>
              </w:rPr>
              <w:t xml:space="preserve"> </w:t>
            </w:r>
            <w:proofErr w:type="spellStart"/>
            <w:r w:rsidRPr="00A37C1D">
              <w:rPr>
                <w:rFonts w:ascii="Calibri" w:hAnsi="Calibri" w:cs="Calibri"/>
                <w:lang w:val="en-US"/>
              </w:rPr>
              <w:t>რ</w:t>
            </w:r>
            <w:r w:rsidR="00701F6E" w:rsidRPr="00A37C1D">
              <w:rPr>
                <w:rFonts w:ascii="Calibri" w:hAnsi="Calibri" w:cs="Calibri"/>
                <w:lang w:val="en-US"/>
              </w:rPr>
              <w:t>ომელი</w:t>
            </w:r>
            <w:proofErr w:type="spellEnd"/>
            <w:r w:rsidRPr="00A37C1D">
              <w:rPr>
                <w:rFonts w:ascii="Calibri" w:hAnsi="Calibri" w:cs="Calibri"/>
                <w:lang w:val="en-US"/>
              </w:rPr>
              <w:t xml:space="preserve"> </w:t>
            </w:r>
            <w:proofErr w:type="spellStart"/>
            <w:r w:rsidR="00701F6E" w:rsidRPr="00A37C1D">
              <w:rPr>
                <w:rFonts w:ascii="Calibri" w:hAnsi="Calibri" w:cs="Calibri"/>
                <w:lang w:val="en-US"/>
              </w:rPr>
              <w:t>კონკრეტული</w:t>
            </w:r>
            <w:proofErr w:type="spellEnd"/>
            <w:r w:rsidR="00701F6E" w:rsidRPr="00A37C1D">
              <w:rPr>
                <w:rFonts w:ascii="Calibri" w:hAnsi="Calibri" w:cs="Calibri"/>
                <w:lang w:val="en-US"/>
              </w:rPr>
              <w:t xml:space="preserve"> </w:t>
            </w:r>
            <w:proofErr w:type="spellStart"/>
            <w:r w:rsidRPr="00A37C1D">
              <w:rPr>
                <w:rFonts w:ascii="Calibri" w:hAnsi="Calibri" w:cs="Calibri"/>
                <w:lang w:val="en-US"/>
              </w:rPr>
              <w:t>სადგურები</w:t>
            </w:r>
            <w:proofErr w:type="spellEnd"/>
            <w:r w:rsidRPr="00A37C1D">
              <w:rPr>
                <w:rFonts w:ascii="Calibri" w:hAnsi="Calibri" w:cs="Calibri"/>
                <w:lang w:val="en-US"/>
              </w:rPr>
              <w:t xml:space="preserve"> </w:t>
            </w:r>
            <w:proofErr w:type="spellStart"/>
            <w:r w:rsidRPr="00A37C1D">
              <w:rPr>
                <w:rFonts w:ascii="Calibri" w:hAnsi="Calibri" w:cs="Calibri"/>
                <w:lang w:val="en-US"/>
              </w:rPr>
              <w:t>გაიმარჯვებს</w:t>
            </w:r>
            <w:proofErr w:type="spellEnd"/>
            <w:r w:rsidRPr="00A37C1D">
              <w:rPr>
                <w:rFonts w:ascii="Calibri" w:hAnsi="Calibri" w:cs="Calibri"/>
                <w:lang w:val="en-US"/>
              </w:rPr>
              <w:t xml:space="preserve"> </w:t>
            </w:r>
            <w:proofErr w:type="spellStart"/>
            <w:r w:rsidRPr="00A37C1D">
              <w:rPr>
                <w:rFonts w:ascii="Calibri" w:hAnsi="Calibri" w:cs="Calibri"/>
                <w:lang w:val="en-US"/>
              </w:rPr>
              <w:t>ელექტროენერგიის</w:t>
            </w:r>
            <w:proofErr w:type="spellEnd"/>
            <w:r w:rsidRPr="00A37C1D">
              <w:rPr>
                <w:rFonts w:ascii="Calibri" w:hAnsi="Calibri" w:cs="Calibri"/>
                <w:lang w:val="en-US"/>
              </w:rPr>
              <w:t xml:space="preserve"> </w:t>
            </w:r>
            <w:proofErr w:type="spellStart"/>
            <w:r w:rsidRPr="00A37C1D">
              <w:rPr>
                <w:rFonts w:ascii="Calibri" w:hAnsi="Calibri" w:cs="Calibri"/>
                <w:lang w:val="en-US"/>
              </w:rPr>
              <w:t>წარმოების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სიმძლავრის</w:t>
            </w:r>
            <w:proofErr w:type="spellEnd"/>
            <w:r w:rsidRPr="00A37C1D">
              <w:rPr>
                <w:rFonts w:ascii="Calibri" w:hAnsi="Calibri" w:cs="Calibri"/>
                <w:lang w:val="en-US"/>
              </w:rPr>
              <w:t xml:space="preserve"> </w:t>
            </w:r>
            <w:proofErr w:type="spellStart"/>
            <w:r w:rsidRPr="00A37C1D">
              <w:rPr>
                <w:rFonts w:ascii="Calibri" w:hAnsi="Calibri" w:cs="Calibri"/>
                <w:lang w:val="en-US"/>
              </w:rPr>
              <w:t>აუქციონში</w:t>
            </w:r>
            <w:proofErr w:type="spellEnd"/>
            <w:r w:rsidRPr="00A37C1D">
              <w:rPr>
                <w:rFonts w:ascii="Calibri" w:hAnsi="Calibri" w:cs="Calibri"/>
                <w:lang w:val="en-US"/>
              </w:rPr>
              <w:t xml:space="preserve">.  </w:t>
            </w:r>
            <w:proofErr w:type="spellStart"/>
            <w:r w:rsidR="00701F6E" w:rsidRPr="00A37C1D">
              <w:rPr>
                <w:rFonts w:ascii="Calibri" w:hAnsi="Calibri" w:cs="Calibri"/>
                <w:lang w:val="en-US"/>
              </w:rPr>
              <w:t>შესაბამისად</w:t>
            </w:r>
            <w:proofErr w:type="spellEnd"/>
            <w:r w:rsidR="00701F6E" w:rsidRPr="00A37C1D">
              <w:rPr>
                <w:rFonts w:ascii="Calibri" w:hAnsi="Calibri" w:cs="Calibri"/>
                <w:lang w:val="en-US"/>
              </w:rPr>
              <w:t xml:space="preserve">, </w:t>
            </w:r>
            <w:proofErr w:type="spellStart"/>
            <w:r w:rsidRPr="00A37C1D">
              <w:rPr>
                <w:rFonts w:ascii="Calibri" w:hAnsi="Calibri" w:cs="Calibri"/>
                <w:lang w:val="en-US"/>
              </w:rPr>
              <w:t>სადგურების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სახელებ</w:t>
            </w:r>
            <w:proofErr w:type="spellEnd"/>
            <w:r w:rsidR="0096319D" w:rsidRPr="00A37C1D">
              <w:rPr>
                <w:rFonts w:ascii="Calibri" w:hAnsi="Calibri" w:cs="Calibri"/>
              </w:rPr>
              <w:t>ის</w:t>
            </w:r>
            <w:r w:rsidRPr="00A37C1D">
              <w:rPr>
                <w:rFonts w:ascii="Calibri" w:hAnsi="Calibri" w:cs="Calibri"/>
                <w:lang w:val="en-US"/>
              </w:rPr>
              <w:t xml:space="preserve"> </w:t>
            </w:r>
            <w:proofErr w:type="spellStart"/>
            <w:r w:rsidRPr="00A37C1D">
              <w:rPr>
                <w:rFonts w:ascii="Calibri" w:hAnsi="Calibri" w:cs="Calibri"/>
                <w:lang w:val="en-US"/>
              </w:rPr>
              <w:t>მი</w:t>
            </w:r>
            <w:proofErr w:type="spellEnd"/>
            <w:r w:rsidR="0096319D" w:rsidRPr="00A37C1D">
              <w:rPr>
                <w:rFonts w:ascii="Calibri" w:hAnsi="Calibri" w:cs="Calibri"/>
              </w:rPr>
              <w:t>თ</w:t>
            </w:r>
            <w:r w:rsidRPr="00A37C1D">
              <w:rPr>
                <w:rFonts w:ascii="Calibri" w:hAnsi="Calibri" w:cs="Calibri"/>
                <w:lang w:val="en-US"/>
              </w:rPr>
              <w:t>ი</w:t>
            </w:r>
            <w:r w:rsidR="0096319D" w:rsidRPr="00A37C1D">
              <w:rPr>
                <w:rFonts w:ascii="Calibri" w:hAnsi="Calibri" w:cs="Calibri"/>
              </w:rPr>
              <w:t>თ</w:t>
            </w:r>
            <w:proofErr w:type="spellStart"/>
            <w:r w:rsidRPr="00A37C1D">
              <w:rPr>
                <w:rFonts w:ascii="Calibri" w:hAnsi="Calibri" w:cs="Calibri"/>
                <w:lang w:val="en-US"/>
              </w:rPr>
              <w:t>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მაგივრად</w:t>
            </w:r>
            <w:proofErr w:type="spellEnd"/>
            <w:r w:rsidRPr="00A37C1D">
              <w:rPr>
                <w:rFonts w:ascii="Calibri" w:hAnsi="Calibri" w:cs="Calibri"/>
                <w:lang w:val="en-US"/>
              </w:rPr>
              <w:t>, NECP-</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დოკუმენტში</w:t>
            </w:r>
            <w:proofErr w:type="spellEnd"/>
            <w:r w:rsidRPr="00A37C1D">
              <w:rPr>
                <w:rFonts w:ascii="Calibri" w:hAnsi="Calibri" w:cs="Calibri"/>
                <w:lang w:val="en-US"/>
              </w:rPr>
              <w:t xml:space="preserve"> </w:t>
            </w:r>
            <w:proofErr w:type="spellStart"/>
            <w:r w:rsidRPr="00A37C1D">
              <w:rPr>
                <w:rFonts w:ascii="Calibri" w:hAnsi="Calibri" w:cs="Calibri"/>
                <w:lang w:val="en-US"/>
              </w:rPr>
              <w:t>ეთითება</w:t>
            </w:r>
            <w:proofErr w:type="spellEnd"/>
            <w:r w:rsidRPr="00A37C1D">
              <w:rPr>
                <w:rFonts w:ascii="Calibri" w:hAnsi="Calibri" w:cs="Calibri"/>
                <w:lang w:val="en-US"/>
              </w:rPr>
              <w:t xml:space="preserve"> </w:t>
            </w:r>
            <w:proofErr w:type="spellStart"/>
            <w:r w:rsidRPr="00A37C1D">
              <w:rPr>
                <w:rFonts w:ascii="Calibri" w:hAnsi="Calibri" w:cs="Calibri"/>
                <w:lang w:val="en-US"/>
              </w:rPr>
              <w:t>სავარაუდო</w:t>
            </w:r>
            <w:proofErr w:type="spellEnd"/>
            <w:r w:rsidRPr="00A37C1D">
              <w:rPr>
                <w:rFonts w:ascii="Calibri" w:hAnsi="Calibri" w:cs="Calibri"/>
                <w:lang w:val="en-US"/>
              </w:rPr>
              <w:t xml:space="preserve"> </w:t>
            </w:r>
            <w:proofErr w:type="spellStart"/>
            <w:r w:rsidRPr="00A37C1D">
              <w:rPr>
                <w:rFonts w:ascii="Calibri" w:hAnsi="Calibri" w:cs="Calibri"/>
                <w:lang w:val="en-US"/>
              </w:rPr>
              <w:t>სიმძლავრე</w:t>
            </w:r>
            <w:proofErr w:type="spellEnd"/>
            <w:r w:rsidRPr="00A37C1D">
              <w:rPr>
                <w:rFonts w:ascii="Calibri" w:hAnsi="Calibri" w:cs="Calibri"/>
                <w:lang w:val="en-US"/>
              </w:rPr>
              <w:t xml:space="preserve"> </w:t>
            </w:r>
            <w:proofErr w:type="spellStart"/>
            <w:r w:rsidRPr="00A37C1D">
              <w:rPr>
                <w:rFonts w:ascii="Calibri" w:hAnsi="Calibri" w:cs="Calibri"/>
                <w:lang w:val="en-US"/>
              </w:rPr>
              <w:t>სადგურის</w:t>
            </w:r>
            <w:proofErr w:type="spellEnd"/>
            <w:r w:rsidRPr="00A37C1D">
              <w:rPr>
                <w:rFonts w:ascii="Calibri" w:hAnsi="Calibri" w:cs="Calibri"/>
                <w:lang w:val="en-US"/>
              </w:rPr>
              <w:t xml:space="preserve"> </w:t>
            </w:r>
            <w:proofErr w:type="spellStart"/>
            <w:r w:rsidRPr="00A37C1D">
              <w:rPr>
                <w:rFonts w:ascii="Calibri" w:hAnsi="Calibri" w:cs="Calibri"/>
                <w:lang w:val="en-US"/>
              </w:rPr>
              <w:t>ტიპის</w:t>
            </w:r>
            <w:proofErr w:type="spellEnd"/>
            <w:r w:rsidRPr="00A37C1D">
              <w:rPr>
                <w:rFonts w:ascii="Calibri" w:hAnsi="Calibri" w:cs="Calibri"/>
                <w:lang w:val="en-US"/>
              </w:rPr>
              <w:t xml:space="preserve"> მიხედვით, </w:t>
            </w:r>
            <w:proofErr w:type="spellStart"/>
            <w:r w:rsidRPr="00A37C1D">
              <w:rPr>
                <w:rFonts w:ascii="Calibri" w:hAnsi="Calibri" w:cs="Calibri"/>
                <w:lang w:val="en-US"/>
              </w:rPr>
              <w:t>ხოლო</w:t>
            </w:r>
            <w:proofErr w:type="spellEnd"/>
            <w:r w:rsidRPr="00A37C1D">
              <w:rPr>
                <w:rFonts w:ascii="Calibri" w:hAnsi="Calibri" w:cs="Calibri"/>
                <w:lang w:val="en-US"/>
              </w:rPr>
              <w:t xml:space="preserve"> </w:t>
            </w:r>
            <w:proofErr w:type="spellStart"/>
            <w:r w:rsidRPr="00A37C1D">
              <w:rPr>
                <w:rFonts w:ascii="Calibri" w:hAnsi="Calibri" w:cs="Calibri"/>
                <w:lang w:val="en-US"/>
              </w:rPr>
              <w:t>კონკრეტული</w:t>
            </w:r>
            <w:proofErr w:type="spellEnd"/>
            <w:r w:rsidRPr="00A37C1D">
              <w:rPr>
                <w:rFonts w:ascii="Calibri" w:hAnsi="Calibri" w:cs="Calibri"/>
                <w:lang w:val="en-US"/>
              </w:rPr>
              <w:t xml:space="preserve"> </w:t>
            </w:r>
            <w:proofErr w:type="spellStart"/>
            <w:r w:rsidRPr="00A37C1D">
              <w:rPr>
                <w:rFonts w:ascii="Calibri" w:hAnsi="Calibri" w:cs="Calibri"/>
                <w:lang w:val="en-US"/>
              </w:rPr>
              <w:lastRenderedPageBreak/>
              <w:t>სადგურები</w:t>
            </w:r>
            <w:proofErr w:type="spellEnd"/>
            <w:r w:rsidRPr="00A37C1D">
              <w:rPr>
                <w:rFonts w:ascii="Calibri" w:hAnsi="Calibri" w:cs="Calibri"/>
                <w:lang w:val="en-US"/>
              </w:rPr>
              <w:t xml:space="preserve"> და </w:t>
            </w:r>
            <w:proofErr w:type="spellStart"/>
            <w:r w:rsidRPr="00A37C1D">
              <w:rPr>
                <w:rFonts w:ascii="Calibri" w:hAnsi="Calibri" w:cs="Calibri"/>
                <w:lang w:val="en-US"/>
              </w:rPr>
              <w:t>კონკრეტული</w:t>
            </w:r>
            <w:proofErr w:type="spellEnd"/>
            <w:r w:rsidRPr="00A37C1D">
              <w:rPr>
                <w:rFonts w:ascii="Calibri" w:hAnsi="Calibri" w:cs="Calibri"/>
                <w:lang w:val="en-US"/>
              </w:rPr>
              <w:t xml:space="preserve"> </w:t>
            </w:r>
            <w:proofErr w:type="spellStart"/>
            <w:r w:rsidRPr="00A37C1D">
              <w:rPr>
                <w:rFonts w:ascii="Calibri" w:hAnsi="Calibri" w:cs="Calibri"/>
                <w:lang w:val="en-US"/>
              </w:rPr>
              <w:t>სიმძლავრეები</w:t>
            </w:r>
            <w:proofErr w:type="spellEnd"/>
            <w:r w:rsidRPr="00A37C1D">
              <w:rPr>
                <w:rFonts w:ascii="Calibri" w:hAnsi="Calibri" w:cs="Calibri"/>
                <w:lang w:val="en-US"/>
              </w:rPr>
              <w:t xml:space="preserve"> </w:t>
            </w:r>
            <w:proofErr w:type="spellStart"/>
            <w:r w:rsidRPr="00A37C1D">
              <w:rPr>
                <w:rFonts w:ascii="Calibri" w:hAnsi="Calibri" w:cs="Calibri"/>
                <w:lang w:val="en-US"/>
              </w:rPr>
              <w:t>დაზუსტდება</w:t>
            </w:r>
            <w:proofErr w:type="spellEnd"/>
            <w:r w:rsidRPr="00A37C1D">
              <w:rPr>
                <w:rFonts w:ascii="Calibri" w:hAnsi="Calibri" w:cs="Calibri"/>
                <w:lang w:val="en-US"/>
              </w:rPr>
              <w:t xml:space="preserve"> </w:t>
            </w:r>
            <w:proofErr w:type="spellStart"/>
            <w:r w:rsidRPr="00A37C1D">
              <w:rPr>
                <w:rFonts w:ascii="Calibri" w:hAnsi="Calibri" w:cs="Calibri"/>
                <w:lang w:val="en-US"/>
              </w:rPr>
              <w:t>განხორციელებისას</w:t>
            </w:r>
            <w:proofErr w:type="spellEnd"/>
            <w:r w:rsidRPr="00A37C1D">
              <w:rPr>
                <w:rFonts w:ascii="Calibri" w:hAnsi="Calibri" w:cs="Calibri"/>
                <w:lang w:val="en-US"/>
              </w:rPr>
              <w:t xml:space="preserve"> და </w:t>
            </w:r>
            <w:proofErr w:type="spellStart"/>
            <w:r w:rsidRPr="00A37C1D">
              <w:rPr>
                <w:rFonts w:ascii="Calibri" w:hAnsi="Calibri" w:cs="Calibri"/>
                <w:lang w:val="en-US"/>
              </w:rPr>
              <w:t>აისახება</w:t>
            </w:r>
            <w:proofErr w:type="spellEnd"/>
            <w:r w:rsidRPr="00A37C1D">
              <w:rPr>
                <w:rFonts w:ascii="Calibri" w:hAnsi="Calibri" w:cs="Calibri"/>
                <w:lang w:val="en-US"/>
              </w:rPr>
              <w:t xml:space="preserve"> NECP-</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მონიტორინგის</w:t>
            </w:r>
            <w:proofErr w:type="spellEnd"/>
            <w:r w:rsidRPr="00A37C1D">
              <w:rPr>
                <w:rFonts w:ascii="Calibri" w:hAnsi="Calibri" w:cs="Calibri"/>
                <w:lang w:val="en-US"/>
              </w:rPr>
              <w:t xml:space="preserve"> </w:t>
            </w:r>
            <w:proofErr w:type="spellStart"/>
            <w:r w:rsidRPr="00A37C1D">
              <w:rPr>
                <w:rFonts w:ascii="Calibri" w:hAnsi="Calibri" w:cs="Calibri"/>
                <w:lang w:val="en-US"/>
              </w:rPr>
              <w:t>დოკუმენტში</w:t>
            </w:r>
            <w:proofErr w:type="spellEnd"/>
            <w:r w:rsidRPr="00A37C1D">
              <w:rPr>
                <w:rFonts w:ascii="Calibri" w:hAnsi="Calibri" w:cs="Calibri"/>
                <w:lang w:val="en-US"/>
              </w:rPr>
              <w:t>.</w:t>
            </w:r>
          </w:p>
        </w:tc>
      </w:tr>
      <w:tr w:rsidR="004E4369" w:rsidRPr="00A37C1D" w14:paraId="23CF78E7" w14:textId="77777777" w:rsidTr="00346E59">
        <w:tc>
          <w:tcPr>
            <w:tcW w:w="562" w:type="dxa"/>
          </w:tcPr>
          <w:p w14:paraId="55BD0D82" w14:textId="77777777" w:rsidR="004E4369" w:rsidRPr="00A37C1D" w:rsidRDefault="004E4369">
            <w:pPr>
              <w:pStyle w:val="ListParagraph"/>
              <w:numPr>
                <w:ilvl w:val="0"/>
                <w:numId w:val="7"/>
              </w:numPr>
              <w:rPr>
                <w:rFonts w:ascii="Calibri" w:hAnsi="Calibri" w:cs="Calibri"/>
              </w:rPr>
            </w:pPr>
          </w:p>
        </w:tc>
        <w:tc>
          <w:tcPr>
            <w:tcW w:w="5528" w:type="dxa"/>
          </w:tcPr>
          <w:p w14:paraId="32CD1B43" w14:textId="77777777" w:rsidR="004E4369" w:rsidRPr="00A37C1D" w:rsidRDefault="004E4369">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მიზანი 1.5-ის ფარგლებში გათვალისწინებულ ღონისძიებებთან დაკავშირებით,  გაცნობებთ რომ არ არის მითითებული 2030 წლამდე განსავითარებელი მარეგულირებელი ჰიდროელექტროსადგურების ჩამონათვალი და სივრცითი მონაცემი. ასევე რა ტიპის რეგულირების (წლიური, სეზონური, სადღეღამისო) წყალსაცავიანი ჰიდროსადგურების მშენებლობაა დაგეგმილი და რა თანაფარდობით. რაც საჭიროებს დაზუსტებას;</w:t>
            </w:r>
          </w:p>
          <w:p w14:paraId="50BC07C5" w14:textId="77777777" w:rsidR="004E4369" w:rsidRPr="00A37C1D" w:rsidRDefault="004E4369">
            <w:pPr>
              <w:jc w:val="both"/>
              <w:rPr>
                <w:rFonts w:ascii="Calibri" w:eastAsia="Arial Unicode MS" w:hAnsi="Calibri" w:cs="Calibri"/>
              </w:rPr>
            </w:pPr>
          </w:p>
        </w:tc>
        <w:tc>
          <w:tcPr>
            <w:tcW w:w="8363" w:type="dxa"/>
          </w:tcPr>
          <w:p w14:paraId="34726668" w14:textId="302351BA" w:rsidR="004E4369" w:rsidRPr="00A37C1D" w:rsidRDefault="00E00B6E" w:rsidP="00E00B6E">
            <w:pPr>
              <w:jc w:val="both"/>
              <w:rPr>
                <w:rFonts w:ascii="Calibri" w:hAnsi="Calibri" w:cs="Calibri"/>
              </w:rPr>
            </w:pPr>
            <w:r w:rsidRPr="00A37C1D">
              <w:rPr>
                <w:rFonts w:ascii="Calibri" w:hAnsi="Calibri" w:cs="Calibri"/>
              </w:rPr>
              <w:t>როგორც ზემოთ აღინიშნა</w:t>
            </w:r>
            <w:r w:rsidR="00701F6E" w:rsidRPr="00A37C1D">
              <w:rPr>
                <w:rFonts w:ascii="Calibri" w:hAnsi="Calibri" w:cs="Calibri"/>
              </w:rPr>
              <w:t>,</w:t>
            </w:r>
            <w:r w:rsidRPr="00A37C1D">
              <w:rPr>
                <w:rFonts w:ascii="Calibri" w:hAnsi="Calibri" w:cs="Calibri"/>
              </w:rPr>
              <w:t xml:space="preserve"> </w:t>
            </w:r>
            <w:r w:rsidR="00ED6C95" w:rsidRPr="00A37C1D">
              <w:rPr>
                <w:rFonts w:ascii="Calibri" w:hAnsi="Calibri" w:cs="Calibri"/>
              </w:rPr>
              <w:t xml:space="preserve">მარეგულირებელი ჰიდროელექტროსადგურები, რომელიც ემსახურება ქსელში </w:t>
            </w:r>
            <w:r w:rsidR="00221865" w:rsidRPr="00A37C1D">
              <w:rPr>
                <w:rFonts w:ascii="Calibri" w:hAnsi="Calibri" w:cs="Calibri"/>
              </w:rPr>
              <w:t xml:space="preserve">მოთხოვნაზე რეაგირებას და სიმძლავრის </w:t>
            </w:r>
            <w:r w:rsidR="00ED6C95" w:rsidRPr="00A37C1D">
              <w:rPr>
                <w:rFonts w:ascii="Calibri" w:hAnsi="Calibri" w:cs="Calibri"/>
              </w:rPr>
              <w:t xml:space="preserve"> რეგულირებას მოცემულია </w:t>
            </w:r>
            <w:r w:rsidR="00713F68" w:rsidRPr="00A37C1D">
              <w:rPr>
                <w:rFonts w:ascii="Calibri" w:hAnsi="Calibri" w:cs="Calibri"/>
              </w:rPr>
              <w:t>მოდელირების შედეგად. ეს არის ქსელის რეგულირებისთვის საჭირო რეგულირებადი სიმძლავრეები</w:t>
            </w:r>
            <w:r w:rsidR="00221865" w:rsidRPr="00A37C1D">
              <w:rPr>
                <w:rFonts w:ascii="Calibri" w:hAnsi="Calibri" w:cs="Calibri"/>
              </w:rPr>
              <w:t xml:space="preserve"> და არა კონკრეტული პროექტები</w:t>
            </w:r>
            <w:r w:rsidR="00713F68" w:rsidRPr="00A37C1D">
              <w:rPr>
                <w:rFonts w:ascii="Calibri" w:hAnsi="Calibri" w:cs="Calibri"/>
              </w:rPr>
              <w:t>. შესაბამისად</w:t>
            </w:r>
            <w:r w:rsidR="00701F6E" w:rsidRPr="00A37C1D">
              <w:rPr>
                <w:rFonts w:ascii="Calibri" w:hAnsi="Calibri" w:cs="Calibri"/>
              </w:rPr>
              <w:t>,</w:t>
            </w:r>
            <w:r w:rsidR="00713F68" w:rsidRPr="00A37C1D">
              <w:rPr>
                <w:rFonts w:ascii="Calibri" w:hAnsi="Calibri" w:cs="Calibri"/>
              </w:rPr>
              <w:t xml:space="preserve"> არ არის განსაზღვრული კონკრეტულად რომელი სადგური უნდა იყოს და აქედან გამომდინარე </w:t>
            </w:r>
            <w:r w:rsidRPr="00A37C1D">
              <w:rPr>
                <w:rFonts w:ascii="Calibri" w:hAnsi="Calibri" w:cs="Calibri"/>
              </w:rPr>
              <w:t>ვერც</w:t>
            </w:r>
            <w:r w:rsidR="00713F68" w:rsidRPr="00A37C1D">
              <w:rPr>
                <w:rFonts w:ascii="Calibri" w:hAnsi="Calibri" w:cs="Calibri"/>
              </w:rPr>
              <w:t xml:space="preserve"> მისი სივრცითი კოორდინატები</w:t>
            </w:r>
            <w:r w:rsidRPr="00A37C1D">
              <w:rPr>
                <w:rFonts w:ascii="Calibri" w:hAnsi="Calibri" w:cs="Calibri"/>
              </w:rPr>
              <w:t xml:space="preserve"> იქნება განსზღვრული</w:t>
            </w:r>
            <w:r w:rsidR="00713F68" w:rsidRPr="00A37C1D">
              <w:rPr>
                <w:rFonts w:ascii="Calibri" w:hAnsi="Calibri" w:cs="Calibri"/>
              </w:rPr>
              <w:t>. ეს შეიძლება იყოს ნებისმიერ ჰიდროელექტროსადგური შესაბამისი სიმძლავრით და წარმოებით.</w:t>
            </w:r>
          </w:p>
        </w:tc>
      </w:tr>
      <w:tr w:rsidR="004E4369" w:rsidRPr="00A37C1D" w14:paraId="0E409141" w14:textId="77777777" w:rsidTr="00346E59">
        <w:tc>
          <w:tcPr>
            <w:tcW w:w="562" w:type="dxa"/>
          </w:tcPr>
          <w:p w14:paraId="2DF9A219" w14:textId="77777777" w:rsidR="004E4369" w:rsidRPr="00A37C1D" w:rsidRDefault="004E4369">
            <w:pPr>
              <w:pStyle w:val="ListParagraph"/>
              <w:numPr>
                <w:ilvl w:val="0"/>
                <w:numId w:val="7"/>
              </w:numPr>
              <w:rPr>
                <w:rFonts w:ascii="Calibri" w:hAnsi="Calibri" w:cs="Calibri"/>
              </w:rPr>
            </w:pPr>
          </w:p>
        </w:tc>
        <w:tc>
          <w:tcPr>
            <w:tcW w:w="5528" w:type="dxa"/>
          </w:tcPr>
          <w:p w14:paraId="5CCC63C9" w14:textId="6CE644F7" w:rsidR="004E4369" w:rsidRPr="00A37C1D" w:rsidRDefault="005C647C" w:rsidP="004D576A">
            <w:pPr>
              <w:pBdr>
                <w:top w:val="nil"/>
                <w:left w:val="nil"/>
                <w:bottom w:val="nil"/>
                <w:right w:val="nil"/>
                <w:between w:val="nil"/>
              </w:pBdr>
              <w:jc w:val="both"/>
              <w:rPr>
                <w:rFonts w:ascii="Calibri" w:eastAsia="Arial Unicode MS" w:hAnsi="Calibri" w:cs="Calibri"/>
              </w:rPr>
            </w:pPr>
            <w:r w:rsidRPr="00A37C1D">
              <w:rPr>
                <w:rFonts w:ascii="Calibri" w:hAnsi="Calibri" w:cs="Calibri"/>
              </w:rPr>
              <w:t>წარმოდგენილ სტრატეგიული გარემოსდაცვითი შეფასების ანგარიშში ფართოდ არის განხილული შესაძლო გეოლოგიური საფრთხეების ჩასახვა-წარმოშობის რისკები. ასევე მნიშვნელოვანია საშიში ჰიდროლოგიური პროცესების გააქტიურების რისკების დეტალური აღწერა და შეფასება, როგორიცაა გაზრდილი სეზონური ტიპის წყალდიდობები, თავსხმა წვიმებით და თოვლისა და მყინვარების უეცარი დნობით გამოწვეული წყალმოვარდნები, ზვავები და აგრეთვე ელექტროგადამცემ ხაზებთან მიმართებაში კლიმატური (წაყინვები, ქარი) რისკებიც. ამასთან, ღვარცოფული პროცესები (სელური ნაკადები) აღწერილია როგორც მხოლოდ საშიში გეოლოგიური პროცესი, მისი განხილვა აუცილებელია ჰიდრომეტეოროლოგიურ პროცესებთან ერთად და დამატებითი ინფორმაციის წარმოდგენა.</w:t>
            </w:r>
          </w:p>
        </w:tc>
        <w:tc>
          <w:tcPr>
            <w:tcW w:w="8363" w:type="dxa"/>
          </w:tcPr>
          <w:p w14:paraId="0589A588" w14:textId="77777777" w:rsidR="00707BB7" w:rsidRPr="00A37C1D" w:rsidRDefault="00707BB7" w:rsidP="00707BB7">
            <w:pPr>
              <w:jc w:val="both"/>
              <w:rPr>
                <w:rFonts w:ascii="Calibri" w:hAnsi="Calibri" w:cs="Calibri"/>
                <w:lang w:val="en-US"/>
              </w:rPr>
            </w:pPr>
            <w:r w:rsidRPr="00A37C1D">
              <w:rPr>
                <w:rFonts w:ascii="Calibri" w:hAnsi="Calibri" w:cs="Calibri"/>
                <w:lang w:val="en-US"/>
              </w:rPr>
              <w:t>სგშ-</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ანგარიში</w:t>
            </w:r>
            <w:proofErr w:type="spellEnd"/>
            <w:r w:rsidRPr="00A37C1D">
              <w:rPr>
                <w:rFonts w:ascii="Calibri" w:hAnsi="Calibri" w:cs="Calibri"/>
                <w:lang w:val="en-US"/>
              </w:rPr>
              <w:t xml:space="preserve"> </w:t>
            </w:r>
            <w:proofErr w:type="spellStart"/>
            <w:r w:rsidRPr="00A37C1D">
              <w:rPr>
                <w:rFonts w:ascii="Calibri" w:hAnsi="Calibri" w:cs="Calibri"/>
                <w:lang w:val="en-US"/>
              </w:rPr>
              <w:t>ეყრდნობა</w:t>
            </w:r>
            <w:proofErr w:type="spellEnd"/>
            <w:r w:rsidRPr="00A37C1D">
              <w:rPr>
                <w:rFonts w:ascii="Calibri" w:hAnsi="Calibri" w:cs="Calibri"/>
                <w:lang w:val="en-US"/>
              </w:rPr>
              <w:t xml:space="preserve"> </w:t>
            </w:r>
            <w:proofErr w:type="spellStart"/>
            <w:r w:rsidRPr="00A37C1D">
              <w:rPr>
                <w:rFonts w:ascii="Calibri" w:hAnsi="Calibri" w:cs="Calibri"/>
                <w:lang w:val="en-US"/>
              </w:rPr>
              <w:t>გარემოსდაცვითი</w:t>
            </w:r>
            <w:proofErr w:type="spellEnd"/>
            <w:r w:rsidRPr="00A37C1D">
              <w:rPr>
                <w:rFonts w:ascii="Calibri" w:hAnsi="Calibri" w:cs="Calibri"/>
                <w:lang w:val="en-US"/>
              </w:rPr>
              <w:t xml:space="preserve"> </w:t>
            </w:r>
            <w:proofErr w:type="spellStart"/>
            <w:r w:rsidRPr="00A37C1D">
              <w:rPr>
                <w:rFonts w:ascii="Calibri" w:hAnsi="Calibri" w:cs="Calibri"/>
                <w:lang w:val="en-US"/>
              </w:rPr>
              <w:t>შეფასების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კოდექსისა</w:t>
            </w:r>
            <w:proofErr w:type="spellEnd"/>
            <w:r w:rsidRPr="00A37C1D">
              <w:rPr>
                <w:rFonts w:ascii="Calibri" w:hAnsi="Calibri" w:cs="Calibri"/>
                <w:lang w:val="en-US"/>
              </w:rPr>
              <w:t xml:space="preserve"> და სკოპინგის </w:t>
            </w:r>
            <w:proofErr w:type="spellStart"/>
            <w:r w:rsidRPr="00A37C1D">
              <w:rPr>
                <w:rFonts w:ascii="Calibri" w:hAnsi="Calibri" w:cs="Calibri"/>
                <w:lang w:val="en-US"/>
              </w:rPr>
              <w:t>დასკვნით</w:t>
            </w:r>
            <w:proofErr w:type="spellEnd"/>
            <w:r w:rsidRPr="00A37C1D">
              <w:rPr>
                <w:rFonts w:ascii="Calibri" w:hAnsi="Calibri" w:cs="Calibri"/>
                <w:lang w:val="en-US"/>
              </w:rPr>
              <w:t xml:space="preserve"> </w:t>
            </w:r>
            <w:proofErr w:type="spellStart"/>
            <w:r w:rsidRPr="00A37C1D">
              <w:rPr>
                <w:rFonts w:ascii="Calibri" w:hAnsi="Calibri" w:cs="Calibri"/>
                <w:lang w:val="en-US"/>
              </w:rPr>
              <w:t>გათვალისწინებულ</w:t>
            </w:r>
            <w:proofErr w:type="spellEnd"/>
            <w:r w:rsidRPr="00A37C1D">
              <w:rPr>
                <w:rFonts w:ascii="Calibri" w:hAnsi="Calibri" w:cs="Calibri"/>
                <w:lang w:val="en-US"/>
              </w:rPr>
              <w:t xml:space="preserve"> </w:t>
            </w:r>
            <w:proofErr w:type="spellStart"/>
            <w:r w:rsidRPr="00A37C1D">
              <w:rPr>
                <w:rFonts w:ascii="Calibri" w:hAnsi="Calibri" w:cs="Calibri"/>
                <w:lang w:val="en-US"/>
              </w:rPr>
              <w:t>მოთხოვნებს</w:t>
            </w:r>
            <w:proofErr w:type="spellEnd"/>
            <w:r w:rsidRPr="00A37C1D">
              <w:rPr>
                <w:rFonts w:ascii="Calibri" w:hAnsi="Calibri" w:cs="Calibri"/>
                <w:lang w:val="en-US"/>
              </w:rPr>
              <w:t xml:space="preserve">. სკოპინგის დასკვნის </w:t>
            </w:r>
            <w:proofErr w:type="spellStart"/>
            <w:r w:rsidRPr="00A37C1D">
              <w:rPr>
                <w:rFonts w:ascii="Calibri" w:hAnsi="Calibri" w:cs="Calibri"/>
                <w:lang w:val="en-US"/>
              </w:rPr>
              <w:t>შესაბამისად</w:t>
            </w:r>
            <w:proofErr w:type="spellEnd"/>
            <w:r w:rsidRPr="00A37C1D">
              <w:rPr>
                <w:rFonts w:ascii="Calibri" w:hAnsi="Calibri" w:cs="Calibri"/>
                <w:lang w:val="en-US"/>
              </w:rPr>
              <w:t xml:space="preserve"> </w:t>
            </w:r>
            <w:proofErr w:type="spellStart"/>
            <w:r w:rsidRPr="00A37C1D">
              <w:rPr>
                <w:rFonts w:ascii="Calibri" w:hAnsi="Calibri" w:cs="Calibri"/>
                <w:lang w:val="en-US"/>
              </w:rPr>
              <w:t>მოხდა</w:t>
            </w:r>
            <w:proofErr w:type="spellEnd"/>
            <w:r w:rsidRPr="00A37C1D">
              <w:rPr>
                <w:rFonts w:ascii="Calibri" w:hAnsi="Calibri" w:cs="Calibri"/>
                <w:lang w:val="en-US"/>
              </w:rPr>
              <w:t xml:space="preserve"> </w:t>
            </w:r>
            <w:proofErr w:type="spellStart"/>
            <w:r w:rsidRPr="00A37C1D">
              <w:rPr>
                <w:rFonts w:ascii="Calibri" w:hAnsi="Calibri" w:cs="Calibri"/>
                <w:lang w:val="en-US"/>
              </w:rPr>
              <w:t>ქვე-თავის</w:t>
            </w:r>
            <w:proofErr w:type="spellEnd"/>
            <w:r w:rsidRPr="00A37C1D">
              <w:rPr>
                <w:rFonts w:ascii="Calibri" w:hAnsi="Calibri" w:cs="Calibri"/>
                <w:lang w:val="en-US"/>
              </w:rPr>
              <w:t xml:space="preserve"> </w:t>
            </w:r>
            <w:proofErr w:type="spellStart"/>
            <w:r w:rsidRPr="00A37C1D">
              <w:rPr>
                <w:rFonts w:ascii="Calibri" w:hAnsi="Calibri" w:cs="Calibri"/>
                <w:lang w:val="en-US"/>
              </w:rPr>
              <w:t>დამატება</w:t>
            </w:r>
            <w:proofErr w:type="spellEnd"/>
            <w:r w:rsidRPr="00A37C1D">
              <w:rPr>
                <w:rFonts w:ascii="Calibri" w:hAnsi="Calibri" w:cs="Calibri"/>
                <w:lang w:val="en-US"/>
              </w:rPr>
              <w:t xml:space="preserve"> </w:t>
            </w:r>
            <w:proofErr w:type="spellStart"/>
            <w:r w:rsidRPr="00A37C1D">
              <w:rPr>
                <w:rFonts w:ascii="Calibri" w:hAnsi="Calibri" w:cs="Calibri"/>
                <w:lang w:val="en-US"/>
              </w:rPr>
              <w:t>გეოლოგიურ</w:t>
            </w:r>
            <w:proofErr w:type="spellEnd"/>
            <w:r w:rsidRPr="00A37C1D">
              <w:rPr>
                <w:rFonts w:ascii="Calibri" w:hAnsi="Calibri" w:cs="Calibri"/>
                <w:lang w:val="en-US"/>
              </w:rPr>
              <w:t xml:space="preserve"> </w:t>
            </w:r>
            <w:proofErr w:type="spellStart"/>
            <w:r w:rsidRPr="00A37C1D">
              <w:rPr>
                <w:rFonts w:ascii="Calibri" w:hAnsi="Calibri" w:cs="Calibri"/>
                <w:lang w:val="en-US"/>
              </w:rPr>
              <w:t>საფრთხეებთან</w:t>
            </w:r>
            <w:proofErr w:type="spellEnd"/>
            <w:r w:rsidRPr="00A37C1D">
              <w:rPr>
                <w:rFonts w:ascii="Calibri" w:hAnsi="Calibri" w:cs="Calibri"/>
                <w:lang w:val="en-US"/>
              </w:rPr>
              <w:t xml:space="preserve"> დაკავშირებით.  </w:t>
            </w:r>
          </w:p>
          <w:p w14:paraId="0CA0031D" w14:textId="77777777" w:rsidR="00707BB7" w:rsidRPr="00A37C1D" w:rsidRDefault="00707BB7" w:rsidP="00707BB7">
            <w:pPr>
              <w:jc w:val="both"/>
              <w:rPr>
                <w:rFonts w:ascii="Calibri" w:hAnsi="Calibri" w:cs="Calibri"/>
                <w:lang w:val="en-US"/>
              </w:rPr>
            </w:pPr>
            <w:proofErr w:type="spellStart"/>
            <w:proofErr w:type="gramStart"/>
            <w:r w:rsidRPr="00A37C1D">
              <w:rPr>
                <w:rFonts w:ascii="Calibri" w:hAnsi="Calibri" w:cs="Calibri"/>
                <w:lang w:val="en-US"/>
              </w:rPr>
              <w:t>ჰიდროლოგიური</w:t>
            </w:r>
            <w:proofErr w:type="spellEnd"/>
            <w:proofErr w:type="gramEnd"/>
            <w:r w:rsidRPr="00A37C1D">
              <w:rPr>
                <w:rFonts w:ascii="Calibri" w:hAnsi="Calibri" w:cs="Calibri"/>
                <w:lang w:val="en-US"/>
              </w:rPr>
              <w:t xml:space="preserve"> </w:t>
            </w:r>
            <w:proofErr w:type="spellStart"/>
            <w:r w:rsidRPr="00A37C1D">
              <w:rPr>
                <w:rFonts w:ascii="Calibri" w:hAnsi="Calibri" w:cs="Calibri"/>
                <w:lang w:val="en-US"/>
              </w:rPr>
              <w:t>პროცესების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გააქტიურების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რისკების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დეტალურ</w:t>
            </w:r>
            <w:proofErr w:type="spellEnd"/>
            <w:r w:rsidRPr="00A37C1D">
              <w:rPr>
                <w:rFonts w:ascii="Calibri" w:hAnsi="Calibri" w:cs="Calibri"/>
                <w:lang w:val="en-US"/>
              </w:rPr>
              <w:t xml:space="preserve"> </w:t>
            </w:r>
            <w:proofErr w:type="spellStart"/>
            <w:r w:rsidRPr="00A37C1D">
              <w:rPr>
                <w:rFonts w:ascii="Calibri" w:hAnsi="Calibri" w:cs="Calibri"/>
                <w:lang w:val="en-US"/>
              </w:rPr>
              <w:t>აღწერასა</w:t>
            </w:r>
            <w:proofErr w:type="spellEnd"/>
            <w:r w:rsidRPr="00A37C1D">
              <w:rPr>
                <w:rFonts w:ascii="Calibri" w:hAnsi="Calibri" w:cs="Calibri"/>
                <w:lang w:val="en-US"/>
              </w:rPr>
              <w:t xml:space="preserve"> და  </w:t>
            </w:r>
            <w:proofErr w:type="spellStart"/>
            <w:r w:rsidRPr="00A37C1D">
              <w:rPr>
                <w:rFonts w:ascii="Calibri" w:hAnsi="Calibri" w:cs="Calibri"/>
                <w:lang w:val="en-US"/>
              </w:rPr>
              <w:t>შეფასებას</w:t>
            </w:r>
            <w:proofErr w:type="spellEnd"/>
            <w:r w:rsidRPr="00A37C1D">
              <w:rPr>
                <w:rFonts w:ascii="Calibri" w:hAnsi="Calibri" w:cs="Calibri"/>
                <w:lang w:val="en-US"/>
              </w:rPr>
              <w:t xml:space="preserve"> </w:t>
            </w:r>
            <w:proofErr w:type="spellStart"/>
            <w:r w:rsidRPr="00A37C1D">
              <w:rPr>
                <w:rFonts w:ascii="Calibri" w:hAnsi="Calibri" w:cs="Calibri"/>
                <w:lang w:val="en-US"/>
              </w:rPr>
              <w:t>არ</w:t>
            </w:r>
            <w:proofErr w:type="spellEnd"/>
            <w:r w:rsidRPr="00A37C1D">
              <w:rPr>
                <w:rFonts w:ascii="Calibri" w:hAnsi="Calibri" w:cs="Calibri"/>
                <w:lang w:val="en-US"/>
              </w:rPr>
              <w:t xml:space="preserve"> </w:t>
            </w:r>
            <w:proofErr w:type="spellStart"/>
            <w:r w:rsidRPr="00A37C1D">
              <w:rPr>
                <w:rFonts w:ascii="Calibri" w:hAnsi="Calibri" w:cs="Calibri"/>
                <w:lang w:val="en-US"/>
              </w:rPr>
              <w:t>მოიცავდა</w:t>
            </w:r>
            <w:proofErr w:type="spellEnd"/>
            <w:r w:rsidRPr="00A37C1D">
              <w:rPr>
                <w:rFonts w:ascii="Calibri" w:hAnsi="Calibri" w:cs="Calibri"/>
                <w:lang w:val="en-US"/>
              </w:rPr>
              <w:t xml:space="preserve"> სკოპინგის დასკვნის </w:t>
            </w:r>
            <w:proofErr w:type="spellStart"/>
            <w:r w:rsidRPr="00A37C1D">
              <w:rPr>
                <w:rFonts w:ascii="Calibri" w:hAnsi="Calibri" w:cs="Calibri"/>
                <w:lang w:val="en-US"/>
              </w:rPr>
              <w:t>ჩამონათვალი</w:t>
            </w:r>
            <w:proofErr w:type="spellEnd"/>
            <w:r w:rsidRPr="00A37C1D">
              <w:rPr>
                <w:rFonts w:ascii="Calibri" w:hAnsi="Calibri" w:cs="Calibri"/>
                <w:lang w:val="en-US"/>
              </w:rPr>
              <w:t xml:space="preserve">, </w:t>
            </w:r>
            <w:proofErr w:type="spellStart"/>
            <w:r w:rsidRPr="00A37C1D">
              <w:rPr>
                <w:rFonts w:ascii="Calibri" w:hAnsi="Calibri" w:cs="Calibri"/>
                <w:lang w:val="en-US"/>
              </w:rPr>
              <w:t>რომელიც</w:t>
            </w:r>
            <w:proofErr w:type="spellEnd"/>
            <w:r w:rsidRPr="00A37C1D">
              <w:rPr>
                <w:rFonts w:ascii="Calibri" w:hAnsi="Calibri" w:cs="Calibri"/>
                <w:lang w:val="en-US"/>
              </w:rPr>
              <w:t xml:space="preserve"> </w:t>
            </w:r>
            <w:proofErr w:type="spellStart"/>
            <w:r w:rsidRPr="00A37C1D">
              <w:rPr>
                <w:rFonts w:ascii="Calibri" w:hAnsi="Calibri" w:cs="Calibri"/>
                <w:lang w:val="en-US"/>
              </w:rPr>
              <w:t>განსაზღვრავდა</w:t>
            </w:r>
            <w:proofErr w:type="spellEnd"/>
            <w:r w:rsidRPr="00A37C1D">
              <w:rPr>
                <w:rFonts w:ascii="Calibri" w:hAnsi="Calibri" w:cs="Calibri"/>
                <w:lang w:val="en-US"/>
              </w:rPr>
              <w:t xml:space="preserve"> სგშ-</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ანგარიშში</w:t>
            </w:r>
            <w:proofErr w:type="spellEnd"/>
            <w:r w:rsidRPr="00A37C1D">
              <w:rPr>
                <w:rFonts w:ascii="Calibri" w:hAnsi="Calibri" w:cs="Calibri"/>
                <w:lang w:val="en-US"/>
              </w:rPr>
              <w:t xml:space="preserve"> </w:t>
            </w:r>
            <w:proofErr w:type="spellStart"/>
            <w:r w:rsidRPr="00A37C1D">
              <w:rPr>
                <w:rFonts w:ascii="Calibri" w:hAnsi="Calibri" w:cs="Calibri"/>
                <w:lang w:val="en-US"/>
              </w:rPr>
              <w:t>გასათვალისწინებელ</w:t>
            </w:r>
            <w:proofErr w:type="spellEnd"/>
            <w:r w:rsidRPr="00A37C1D">
              <w:rPr>
                <w:rFonts w:ascii="Calibri" w:hAnsi="Calibri" w:cs="Calibri"/>
                <w:lang w:val="en-US"/>
              </w:rPr>
              <w:t xml:space="preserve"> </w:t>
            </w:r>
            <w:proofErr w:type="spellStart"/>
            <w:r w:rsidRPr="00A37C1D">
              <w:rPr>
                <w:rFonts w:ascii="Calibri" w:hAnsi="Calibri" w:cs="Calibri"/>
                <w:lang w:val="en-US"/>
              </w:rPr>
              <w:t>ინფორმაციას</w:t>
            </w:r>
            <w:proofErr w:type="spellEnd"/>
            <w:r w:rsidRPr="00A37C1D">
              <w:rPr>
                <w:rFonts w:ascii="Calibri" w:hAnsi="Calibri" w:cs="Calibri"/>
                <w:lang w:val="en-US"/>
              </w:rPr>
              <w:t xml:space="preserve">. </w:t>
            </w:r>
          </w:p>
          <w:p w14:paraId="71A4258E" w14:textId="77777777" w:rsidR="00707BB7" w:rsidRPr="00A37C1D" w:rsidRDefault="00707BB7" w:rsidP="00707BB7">
            <w:pPr>
              <w:jc w:val="both"/>
              <w:rPr>
                <w:rFonts w:ascii="Calibri" w:hAnsi="Calibri" w:cs="Calibri"/>
                <w:lang w:val="en-US"/>
              </w:rPr>
            </w:pPr>
          </w:p>
          <w:p w14:paraId="4141B75D" w14:textId="77777777" w:rsidR="00707BB7" w:rsidRPr="00A37C1D" w:rsidRDefault="00707BB7" w:rsidP="00707BB7">
            <w:pPr>
              <w:jc w:val="both"/>
              <w:rPr>
                <w:rFonts w:ascii="Calibri" w:hAnsi="Calibri" w:cs="Calibri"/>
                <w:lang w:val="en-US"/>
              </w:rPr>
            </w:pPr>
          </w:p>
          <w:p w14:paraId="79B77641" w14:textId="11245184" w:rsidR="004E4369" w:rsidRPr="00A37C1D" w:rsidRDefault="00707BB7" w:rsidP="00707BB7">
            <w:pPr>
              <w:jc w:val="both"/>
              <w:rPr>
                <w:rFonts w:ascii="Calibri" w:hAnsi="Calibri" w:cs="Calibri"/>
                <w:lang w:val="en-US"/>
              </w:rPr>
            </w:pPr>
            <w:proofErr w:type="spellStart"/>
            <w:r w:rsidRPr="00A37C1D">
              <w:rPr>
                <w:rFonts w:ascii="Calibri" w:hAnsi="Calibri" w:cs="Calibri"/>
                <w:lang w:val="en-US"/>
              </w:rPr>
              <w:t>გეოლოგიური</w:t>
            </w:r>
            <w:proofErr w:type="spellEnd"/>
            <w:r w:rsidRPr="00A37C1D">
              <w:rPr>
                <w:rFonts w:ascii="Calibri" w:hAnsi="Calibri" w:cs="Calibri"/>
                <w:lang w:val="en-US"/>
              </w:rPr>
              <w:t xml:space="preserve">, ასევე </w:t>
            </w:r>
            <w:proofErr w:type="spellStart"/>
            <w:r w:rsidRPr="00A37C1D">
              <w:rPr>
                <w:rFonts w:ascii="Calibri" w:hAnsi="Calibri" w:cs="Calibri"/>
                <w:lang w:val="en-US"/>
              </w:rPr>
              <w:t>ჰიდრომეტეოროლოგიური</w:t>
            </w:r>
            <w:proofErr w:type="spellEnd"/>
            <w:r w:rsidRPr="00A37C1D">
              <w:rPr>
                <w:rFonts w:ascii="Calibri" w:hAnsi="Calibri" w:cs="Calibri"/>
                <w:lang w:val="en-US"/>
              </w:rPr>
              <w:t xml:space="preserve"> </w:t>
            </w:r>
            <w:proofErr w:type="spellStart"/>
            <w:r w:rsidRPr="00A37C1D">
              <w:rPr>
                <w:rFonts w:ascii="Calibri" w:hAnsi="Calibri" w:cs="Calibri"/>
                <w:lang w:val="en-US"/>
              </w:rPr>
              <w:t>პროცესების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დეტალური</w:t>
            </w:r>
            <w:proofErr w:type="spellEnd"/>
            <w:r w:rsidRPr="00A37C1D">
              <w:rPr>
                <w:rFonts w:ascii="Calibri" w:hAnsi="Calibri" w:cs="Calibri"/>
                <w:lang w:val="en-US"/>
              </w:rPr>
              <w:t xml:space="preserve"> </w:t>
            </w:r>
            <w:proofErr w:type="spellStart"/>
            <w:r w:rsidRPr="00A37C1D">
              <w:rPr>
                <w:rFonts w:ascii="Calibri" w:hAnsi="Calibri" w:cs="Calibri"/>
                <w:lang w:val="en-US"/>
              </w:rPr>
              <w:t>აღწერა</w:t>
            </w:r>
            <w:proofErr w:type="spellEnd"/>
            <w:r w:rsidRPr="00A37C1D">
              <w:rPr>
                <w:rFonts w:ascii="Calibri" w:hAnsi="Calibri" w:cs="Calibri"/>
                <w:lang w:val="en-US"/>
              </w:rPr>
              <w:t xml:space="preserve"> და </w:t>
            </w:r>
            <w:proofErr w:type="spellStart"/>
            <w:r w:rsidRPr="00A37C1D">
              <w:rPr>
                <w:rFonts w:ascii="Calibri" w:hAnsi="Calibri" w:cs="Calibri"/>
                <w:lang w:val="en-US"/>
              </w:rPr>
              <w:t>შეფასება</w:t>
            </w:r>
            <w:proofErr w:type="spellEnd"/>
            <w:r w:rsidRPr="00A37C1D">
              <w:rPr>
                <w:rFonts w:ascii="Calibri" w:hAnsi="Calibri" w:cs="Calibri"/>
                <w:lang w:val="en-US"/>
              </w:rPr>
              <w:t xml:space="preserve"> უნდა </w:t>
            </w:r>
            <w:proofErr w:type="spellStart"/>
            <w:r w:rsidRPr="00A37C1D">
              <w:rPr>
                <w:rFonts w:ascii="Calibri" w:hAnsi="Calibri" w:cs="Calibri"/>
                <w:lang w:val="en-US"/>
              </w:rPr>
              <w:t>მოხდეს</w:t>
            </w:r>
            <w:proofErr w:type="spellEnd"/>
            <w:r w:rsidRPr="00A37C1D">
              <w:rPr>
                <w:rFonts w:ascii="Calibri" w:hAnsi="Calibri" w:cs="Calibri"/>
                <w:lang w:val="en-US"/>
              </w:rPr>
              <w:t xml:space="preserve"> </w:t>
            </w:r>
            <w:proofErr w:type="spellStart"/>
            <w:r w:rsidRPr="00A37C1D">
              <w:rPr>
                <w:rFonts w:ascii="Calibri" w:hAnsi="Calibri" w:cs="Calibri"/>
                <w:lang w:val="en-US"/>
              </w:rPr>
              <w:t>თითოეული</w:t>
            </w:r>
            <w:proofErr w:type="spellEnd"/>
            <w:r w:rsidRPr="00A37C1D">
              <w:rPr>
                <w:rFonts w:ascii="Calibri" w:hAnsi="Calibri" w:cs="Calibri"/>
                <w:lang w:val="en-US"/>
              </w:rPr>
              <w:t xml:space="preserve"> </w:t>
            </w:r>
            <w:proofErr w:type="spellStart"/>
            <w:r w:rsidRPr="00A37C1D">
              <w:rPr>
                <w:rFonts w:ascii="Calibri" w:hAnsi="Calibri" w:cs="Calibri"/>
                <w:lang w:val="en-US"/>
              </w:rPr>
              <w:t>პროექტის</w:t>
            </w:r>
            <w:proofErr w:type="spellEnd"/>
            <w:r w:rsidRPr="00A37C1D">
              <w:rPr>
                <w:rFonts w:ascii="Calibri" w:hAnsi="Calibri" w:cs="Calibri"/>
                <w:lang w:val="en-US"/>
              </w:rPr>
              <w:t xml:space="preserve"> გზშ-</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ეტაპზე</w:t>
            </w:r>
            <w:proofErr w:type="spellEnd"/>
            <w:r w:rsidRPr="00A37C1D">
              <w:rPr>
                <w:rFonts w:ascii="Calibri" w:hAnsi="Calibri" w:cs="Calibri"/>
                <w:lang w:val="en-US"/>
              </w:rPr>
              <w:t xml:space="preserve">. </w:t>
            </w:r>
          </w:p>
        </w:tc>
      </w:tr>
      <w:tr w:rsidR="004E4369" w:rsidRPr="00A37C1D" w14:paraId="0893AE4B" w14:textId="77777777" w:rsidTr="00346E59">
        <w:tc>
          <w:tcPr>
            <w:tcW w:w="562" w:type="dxa"/>
          </w:tcPr>
          <w:p w14:paraId="2796866D" w14:textId="77777777" w:rsidR="004E4369" w:rsidRPr="00A37C1D" w:rsidRDefault="004E4369">
            <w:pPr>
              <w:pStyle w:val="ListParagraph"/>
              <w:numPr>
                <w:ilvl w:val="0"/>
                <w:numId w:val="7"/>
              </w:numPr>
              <w:rPr>
                <w:rFonts w:ascii="Calibri" w:hAnsi="Calibri" w:cs="Calibri"/>
              </w:rPr>
            </w:pPr>
          </w:p>
        </w:tc>
        <w:tc>
          <w:tcPr>
            <w:tcW w:w="5528" w:type="dxa"/>
          </w:tcPr>
          <w:p w14:paraId="0C595ABD" w14:textId="77777777" w:rsidR="004E4369" w:rsidRPr="00A37C1D" w:rsidRDefault="004E4369">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 xml:space="preserve">საქართველოს შავი ზღვის სანაპირო ზოლი და მიმდებარე სანაპირო ზონა (როგორც წყალქვეშა, ისე ხმელეთის) ბუნებრივი და ანთროპოგენური პროცესების მიმართ, ერთერთი ყველაზე მოწყვლადი </w:t>
            </w:r>
            <w:r w:rsidRPr="00A37C1D">
              <w:rPr>
                <w:rFonts w:ascii="Calibri" w:eastAsia="Arial Unicode MS" w:hAnsi="Calibri" w:cs="Calibri"/>
              </w:rPr>
              <w:lastRenderedPageBreak/>
              <w:t xml:space="preserve">გეომორფოლოგიური წარმონაქმნია და სწრაფ-ცვალებადი დინამიკით გამოირჩევა. საქართველოს შავი ზღვის სანაპირო ხაზის ბუნებრივად ჩამოყალიბებული (ჰოლოცენის მეორე ნახევრიდან დღემდე) სუსტი წონასწორობა, თანამედროვე ანთროპოგენური ფაქტორებისა (მდინარეებზე კაშხლების შედეგად ეროზირებული მასალის დახშობისა და ჩაკეტვის, სანაპირო ზოლში ინერტული მასალის მოპოვება-ამოღებისა და სხვ.) და მათგან გამოწვეული მიმდინარე პროცესების შედეგად დარღვეულია და წონასწორობის დისბალანსის ხარისხი მომავალში უფრო გაიზრდება. შავი ზღვის აუზის მდინარეების ჰიდრორესურსების ათვისება ზღვის სანაპირო ზოლზე უდიდეს ზეგავლენას ახდენს. მდინარეთა მყარი ნატანის (როგორც ფსკერული ისე ატივნარებული)  დინამიკის შეცვლა ან/და შეწყვეტა, ზღვის სანაპირო მორფოდინამიკურ პროცესებზე უარყოფითად აისახება, რასაც შემდგომში მოჰყვება სანაპირო ზოლის აბრაზიული პროცესების სწრაფი განვითარება და ხმელეთის ნაწილის კარგვა, ამ უკანასკნელის  დაცვა რთული და ძვირადღირებული საინჟინრო ნაგებობით არის შესაძლებელი, ხოლო ქვიშა-ხრეშით სანაპირო ზოლის დინამიკის შენარჩუნება დიდ თანხებთან და მაღალი რისკის შემცველ გარემოსდაცვით საკითხებთან არის დაკავშირებული. რისკის ქვეშ ხვდება შავი ზღვის წყლის ხარისხის მდგომარეობაც, რადგან  ენერგეტიკული პროექტები წარმოადგენს პოტენციურ დამაბინძურებლებს. ასევე აღსანიშნავია ისიც, რომ თანამედროვე გლობალური დათბობის პირობებში, მსოფლიო ოკეანის დონის განუხრელი აწევა, სავარაუდოდ ახლო მომავალში შესამჩნევად აისახება შავი ზღვის სანაპირო ხაზზე, რაც კიდევ უფრო </w:t>
            </w:r>
            <w:r w:rsidRPr="00A37C1D">
              <w:rPr>
                <w:rFonts w:ascii="Calibri" w:eastAsia="Arial Unicode MS" w:hAnsi="Calibri" w:cs="Calibri"/>
              </w:rPr>
              <w:lastRenderedPageBreak/>
              <w:t>უარყოფით ზეგავლენას მოახდენს საქართველოს სანაპირო ზონაში განლაგებულ ინფრასტრუქტურაზე. წარმოდგენილ დოკუმენტაციაში არ არის საკმარისი ინფორმაცია მოცემული შავ ზღვასთან დაკავშირებით, ნახსენებია მხოლოდ კანონმდებლობასთან და კონვენციებთან მიმართებაში. წარმოდგენილ უნდა იქნას ინფორმაცია შავი ზღვის ეკოლოგიური მდგომარეობისა და წარმოდგენილი ენერგეტიკული პროექტების განხორციელების შემთხვევაში მასზე შესაძლო ზემოქმედების შესახებ, ასევე საჭიროა სანაპირო ზოლში განვითარებული ბუნებრივი და ანთროპოგენური პროცესების შედეგად შექმნილი რისკების იდენტიფიკაცია;</w:t>
            </w:r>
          </w:p>
          <w:p w14:paraId="54AFBFB0" w14:textId="77777777" w:rsidR="004E4369" w:rsidRPr="00A37C1D" w:rsidRDefault="004E4369">
            <w:pPr>
              <w:jc w:val="both"/>
              <w:rPr>
                <w:rFonts w:ascii="Calibri" w:eastAsia="Arial Unicode MS" w:hAnsi="Calibri" w:cs="Calibri"/>
              </w:rPr>
            </w:pPr>
          </w:p>
        </w:tc>
        <w:tc>
          <w:tcPr>
            <w:tcW w:w="8363" w:type="dxa"/>
          </w:tcPr>
          <w:p w14:paraId="58686D86" w14:textId="77777777" w:rsidR="004E4369" w:rsidRPr="00A37C1D" w:rsidRDefault="004E4369">
            <w:pPr>
              <w:jc w:val="both"/>
              <w:rPr>
                <w:rFonts w:ascii="Calibri" w:hAnsi="Calibri" w:cs="Calibri"/>
              </w:rPr>
            </w:pPr>
            <w:r w:rsidRPr="00A37C1D">
              <w:rPr>
                <w:rFonts w:ascii="Calibri" w:hAnsi="Calibri" w:cs="Calibri"/>
              </w:rPr>
              <w:lastRenderedPageBreak/>
              <w:t xml:space="preserve">თავი 4.2.1-ში მითითებულია ჰიდროენერგეტიკის განვითარებასთან დაკავშირებული შესაძლო უარყოფითი ზემოქმედებები გარემოსა და ადამიანის ჯანმრთელობაზე, სადაც ნახსენებია წყლის რეჟიმისა და ნატანის გადაადგილების ცვლილება და სანაპიროს ეროზია. </w:t>
            </w:r>
          </w:p>
          <w:p w14:paraId="5FA9946E" w14:textId="77777777" w:rsidR="004E4369" w:rsidRPr="00A37C1D" w:rsidRDefault="004E4369">
            <w:pPr>
              <w:jc w:val="both"/>
              <w:rPr>
                <w:rFonts w:ascii="Calibri" w:hAnsi="Calibri" w:cs="Calibri"/>
              </w:rPr>
            </w:pPr>
          </w:p>
          <w:p w14:paraId="4C83A369" w14:textId="4935DFB3" w:rsidR="004E4369" w:rsidRPr="00A37C1D" w:rsidRDefault="004E4369">
            <w:pPr>
              <w:jc w:val="both"/>
              <w:rPr>
                <w:rFonts w:ascii="Calibri" w:hAnsi="Calibri" w:cs="Calibri"/>
              </w:rPr>
            </w:pPr>
            <w:bookmarkStart w:id="1" w:name="_Toc141718473"/>
            <w:bookmarkStart w:id="2" w:name="_Toc146157824"/>
            <w:r w:rsidRPr="00A37C1D">
              <w:rPr>
                <w:rFonts w:ascii="Calibri" w:hAnsi="Calibri" w:cs="Calibri"/>
              </w:rPr>
              <w:t xml:space="preserve">4.2.3.3 </w:t>
            </w:r>
            <w:bookmarkEnd w:id="1"/>
            <w:r w:rsidRPr="00A37C1D">
              <w:rPr>
                <w:rFonts w:ascii="Calibri" w:hAnsi="Calibri" w:cs="Calibri"/>
              </w:rPr>
              <w:t>თავში (ზემოქმედებების წინააღმდეგ მიმართული ღონისძიებები</w:t>
            </w:r>
            <w:bookmarkEnd w:id="2"/>
            <w:r w:rsidRPr="00A37C1D">
              <w:rPr>
                <w:rFonts w:ascii="Calibri" w:hAnsi="Calibri" w:cs="Calibri"/>
              </w:rPr>
              <w:t xml:space="preserve">) მითითებული ცალკე რეკომენდაცია </w:t>
            </w:r>
            <w:r w:rsidRPr="00A37C1D">
              <w:rPr>
                <w:rFonts w:ascii="Calibri" w:hAnsi="Calibri" w:cs="Calibri"/>
                <w:i/>
              </w:rPr>
              <w:t xml:space="preserve"> - </w:t>
            </w:r>
            <w:r w:rsidRPr="00A37C1D">
              <w:rPr>
                <w:rFonts w:ascii="Calibri" w:hAnsi="Calibri" w:cs="Calibri"/>
                <w:i/>
                <w:iCs/>
              </w:rPr>
              <w:t>ზღვის სანაპიროზე ჰიდროენერგეტიკული ობიექტების მიერ მყარი ნატანის შეკავების შესაძლო ზემოქმედების შეფასება და მათთვის პრევენციისა და შერბილების ღონისძიებების შემუშავება</w:t>
            </w:r>
            <w:r w:rsidRPr="00A37C1D">
              <w:rPr>
                <w:rFonts w:ascii="Calibri" w:hAnsi="Calibri" w:cs="Calibri"/>
                <w:i/>
              </w:rPr>
              <w:t xml:space="preserve">, </w:t>
            </w:r>
            <w:r w:rsidRPr="00A37C1D">
              <w:rPr>
                <w:rFonts w:ascii="Calibri" w:hAnsi="Calibri" w:cs="Calibri"/>
              </w:rPr>
              <w:t>რაც ხაზს უსვამს საკითხის მნიშვნელობას.</w:t>
            </w:r>
          </w:p>
          <w:p w14:paraId="5208CF72" w14:textId="77777777" w:rsidR="004E4369" w:rsidRPr="00A37C1D" w:rsidRDefault="004E4369">
            <w:pPr>
              <w:jc w:val="both"/>
              <w:rPr>
                <w:rFonts w:ascii="Calibri" w:hAnsi="Calibri" w:cs="Calibri"/>
              </w:rPr>
            </w:pPr>
          </w:p>
          <w:p w14:paraId="6CF7149A" w14:textId="13FE162E" w:rsidR="004E4369" w:rsidRPr="00A37C1D" w:rsidRDefault="00825462">
            <w:pPr>
              <w:jc w:val="both"/>
              <w:rPr>
                <w:rFonts w:ascii="Calibri" w:hAnsi="Calibri" w:cs="Calibri"/>
              </w:rPr>
            </w:pPr>
            <w:r w:rsidRPr="00A37C1D">
              <w:rPr>
                <w:rFonts w:ascii="Calibri" w:hAnsi="Calibri" w:cs="Calibri"/>
              </w:rPr>
              <w:t>გარდა ამისა, აღსანიშნავია, რომ სანაპირო ზოლზე ზემოქმედებას ახდენს მარეგულირებელი წყალსაცავიანი ჰესები, რომელთა შემთხვევაში გზშ-ს ეტაპზე უნდა მოხდეს დეტალური კვლევა და წყალსაცავის მართვის გეგმაში იქნეს გათვალისწინებული მყარი ნატანის ტრანსპორტირებისა და  მისი შავი ზღვის სანაპირო ზოლის მორფოდინამიკაზე შესაძლო გავლენის საკითხები შესაბამისი შემარბილებელი ღონის</w:t>
            </w:r>
            <w:r w:rsidR="009463B6" w:rsidRPr="00A37C1D">
              <w:rPr>
                <w:rFonts w:ascii="Calibri" w:hAnsi="Calibri" w:cs="Calibri"/>
              </w:rPr>
              <w:t>ძ</w:t>
            </w:r>
            <w:r w:rsidRPr="00A37C1D">
              <w:rPr>
                <w:rFonts w:ascii="Calibri" w:hAnsi="Calibri" w:cs="Calibri"/>
              </w:rPr>
              <w:t>იებების გათვალისწინებით.</w:t>
            </w:r>
          </w:p>
          <w:p w14:paraId="5F09258E" w14:textId="217A05A3" w:rsidR="004E4369" w:rsidRPr="00A37C1D" w:rsidRDefault="004E4369">
            <w:pPr>
              <w:jc w:val="both"/>
              <w:rPr>
                <w:rFonts w:ascii="Calibri" w:hAnsi="Calibri" w:cs="Calibri"/>
              </w:rPr>
            </w:pPr>
            <w:r w:rsidRPr="00A37C1D">
              <w:rPr>
                <w:rFonts w:ascii="Calibri" w:hAnsi="Calibri" w:cs="Calibri"/>
              </w:rPr>
              <w:t xml:space="preserve">რაც შეეხება კლიმატის ცვლილების გავლენას შავ ზღვაზე, ამაზე  კვლევა ჯერ-ჯერობით არ არის ხელმისაწვდომი. შესაბამისად, დოკუმენტში ეს საკითხი არ აისახა. </w:t>
            </w:r>
          </w:p>
          <w:p w14:paraId="56641BFA" w14:textId="77777777" w:rsidR="00B02CDF" w:rsidRPr="00A37C1D" w:rsidRDefault="00B02CDF">
            <w:pPr>
              <w:jc w:val="both"/>
              <w:rPr>
                <w:rFonts w:ascii="Calibri" w:hAnsi="Calibri" w:cs="Calibri"/>
              </w:rPr>
            </w:pPr>
          </w:p>
          <w:p w14:paraId="151AEB51" w14:textId="2E3F9681" w:rsidR="004E4369" w:rsidRPr="00A37C1D" w:rsidRDefault="004E4369">
            <w:pPr>
              <w:jc w:val="both"/>
              <w:rPr>
                <w:rFonts w:ascii="Calibri" w:hAnsi="Calibri" w:cs="Calibri"/>
              </w:rPr>
            </w:pPr>
            <w:r w:rsidRPr="00A37C1D">
              <w:rPr>
                <w:rFonts w:ascii="Calibri" w:hAnsi="Calibri" w:cs="Calibri"/>
              </w:rPr>
              <w:t xml:space="preserve">ამასთან,  გარემოსდაცვითი შეფასების კოდექსის 26-ე მუხლის მე-3 პუნქტის თანახმად, სგშ-ის ანგარიშის დეტალიზაციის ხარისხი უნდა შეესაბამებოდეს სტრატეგიული დოკუმენტის დეტალიზაციის ხარისხსა და შინაარსს. შესაბამისად, სგშ-ის ანგარიშში წარმოდგენილი ანალიზი შემოიფარგლა საქართველოს ენერგეტიკისა და კლიმატის ეროვნულ ინტეგრირებულ გეგმაში  მოცემული ინფორმაციით.   </w:t>
            </w:r>
          </w:p>
          <w:p w14:paraId="44C23959" w14:textId="77777777" w:rsidR="004E4369" w:rsidRPr="00A37C1D" w:rsidRDefault="004E4369">
            <w:pPr>
              <w:jc w:val="both"/>
              <w:rPr>
                <w:rFonts w:ascii="Calibri" w:hAnsi="Calibri" w:cs="Calibri"/>
              </w:rPr>
            </w:pPr>
          </w:p>
          <w:p w14:paraId="0DC2E339" w14:textId="2788FA5E" w:rsidR="004E4369" w:rsidRPr="00A37C1D" w:rsidRDefault="004E4369" w:rsidP="0026022B">
            <w:pPr>
              <w:jc w:val="both"/>
              <w:rPr>
                <w:rFonts w:ascii="Calibri" w:hAnsi="Calibri" w:cs="Calibri"/>
              </w:rPr>
            </w:pPr>
          </w:p>
        </w:tc>
      </w:tr>
      <w:tr w:rsidR="004E4369" w:rsidRPr="00A37C1D" w14:paraId="521938E3" w14:textId="77777777" w:rsidTr="00346E59">
        <w:tc>
          <w:tcPr>
            <w:tcW w:w="562" w:type="dxa"/>
          </w:tcPr>
          <w:p w14:paraId="575B2A1F" w14:textId="77777777" w:rsidR="004E4369" w:rsidRPr="00A37C1D" w:rsidRDefault="004E4369">
            <w:pPr>
              <w:pStyle w:val="ListParagraph"/>
              <w:numPr>
                <w:ilvl w:val="0"/>
                <w:numId w:val="7"/>
              </w:numPr>
              <w:rPr>
                <w:rFonts w:ascii="Calibri" w:hAnsi="Calibri" w:cs="Calibri"/>
              </w:rPr>
            </w:pPr>
          </w:p>
        </w:tc>
        <w:tc>
          <w:tcPr>
            <w:tcW w:w="5528" w:type="dxa"/>
          </w:tcPr>
          <w:p w14:paraId="75D732E7" w14:textId="77777777" w:rsidR="004E4369" w:rsidRPr="00A37C1D" w:rsidRDefault="004E4369">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დოკუმენტაციაში ყურადღება გამახვილებულია წყალსაცავებში ნეიროტოქსინ მეთილვერცხლისწყლის წარმოქმნის საფრთხეზე. საჭიროა წარმოდგენილ იქნას ინფორმაცია აღნიშნულის თაობაზე ჩატარებული კვლევების (მათ შორის არსებულ წყალსაცავებზე) შესახებ, მათი შედეგების და სტატისტიკური (ინტოქსიკაციის შემთხვევები) მონაცემების თაობაზე (ასეთის არსებობის შემთხვევაში) ინფორმაცია;</w:t>
            </w:r>
          </w:p>
          <w:p w14:paraId="5F6BDBA0" w14:textId="77777777" w:rsidR="004E4369" w:rsidRPr="00A37C1D" w:rsidRDefault="004E4369">
            <w:pPr>
              <w:jc w:val="both"/>
              <w:rPr>
                <w:rFonts w:ascii="Calibri" w:eastAsia="Arial Unicode MS" w:hAnsi="Calibri" w:cs="Calibri"/>
              </w:rPr>
            </w:pPr>
          </w:p>
        </w:tc>
        <w:tc>
          <w:tcPr>
            <w:tcW w:w="8363" w:type="dxa"/>
            <w:shd w:val="clear" w:color="auto" w:fill="FFFFFF" w:themeFill="background1"/>
          </w:tcPr>
          <w:p w14:paraId="60C3C995" w14:textId="07FD81FD" w:rsidR="000B68B7" w:rsidRPr="00A37C1D" w:rsidRDefault="000B68B7">
            <w:pPr>
              <w:jc w:val="both"/>
              <w:rPr>
                <w:rFonts w:ascii="Calibri" w:hAnsi="Calibri" w:cs="Calibri"/>
              </w:rPr>
            </w:pPr>
            <w:r w:rsidRPr="00A37C1D">
              <w:rPr>
                <w:rFonts w:ascii="Calibri" w:hAnsi="Calibri" w:cs="Calibri"/>
              </w:rPr>
              <w:t xml:space="preserve">წყალსაცავის დაგუბება იწვევს მეთილვერცხლისწყლის </w:t>
            </w:r>
            <w:r w:rsidR="00183C34" w:rsidRPr="00A37C1D">
              <w:rPr>
                <w:rFonts w:ascii="Calibri" w:hAnsi="Calibri" w:cs="Calibri"/>
              </w:rPr>
              <w:t>დროებით, მაგრამ მნიშვნელოვან</w:t>
            </w:r>
            <w:r w:rsidRPr="00A37C1D">
              <w:rPr>
                <w:rFonts w:ascii="Calibri" w:hAnsi="Calibri" w:cs="Calibri"/>
              </w:rPr>
              <w:t xml:space="preserve">  ზრდას. ეს პრობლემა შეინიშნება მთელ</w:t>
            </w:r>
            <w:r w:rsidR="00183C34" w:rsidRPr="00A37C1D">
              <w:rPr>
                <w:rFonts w:ascii="Calibri" w:hAnsi="Calibri" w:cs="Calibri"/>
              </w:rPr>
              <w:t>ს</w:t>
            </w:r>
            <w:r w:rsidRPr="00A37C1D">
              <w:rPr>
                <w:rFonts w:ascii="Calibri" w:hAnsi="Calibri" w:cs="Calibri"/>
              </w:rPr>
              <w:t xml:space="preserve"> მსოფლიოში და უკავშირდება დატბორილი ორგანული ნივთიერებების დაშლას</w:t>
            </w:r>
            <w:r w:rsidR="00183C34" w:rsidRPr="00A37C1D">
              <w:rPr>
                <w:rFonts w:ascii="Calibri" w:hAnsi="Calibri" w:cs="Calibri"/>
              </w:rPr>
              <w:t>,</w:t>
            </w:r>
            <w:r w:rsidRPr="00A37C1D">
              <w:rPr>
                <w:rFonts w:ascii="Calibri" w:hAnsi="Calibri" w:cs="Calibri"/>
              </w:rPr>
              <w:t xml:space="preserve"> რაც ასტიმულირებს მეთილვერცხლისწყლის (MeHg) წარმოებას. </w:t>
            </w:r>
          </w:p>
        </w:tc>
      </w:tr>
      <w:tr w:rsidR="004E4369" w:rsidRPr="00A37C1D" w14:paraId="7177E187" w14:textId="77777777" w:rsidTr="00346E59">
        <w:tc>
          <w:tcPr>
            <w:tcW w:w="562" w:type="dxa"/>
          </w:tcPr>
          <w:p w14:paraId="543CEA35" w14:textId="17303F44" w:rsidR="004E4369" w:rsidRPr="00A37C1D" w:rsidRDefault="004E4369">
            <w:pPr>
              <w:pStyle w:val="ListParagraph"/>
              <w:numPr>
                <w:ilvl w:val="0"/>
                <w:numId w:val="7"/>
              </w:numPr>
              <w:rPr>
                <w:rFonts w:ascii="Calibri" w:hAnsi="Calibri" w:cs="Calibri"/>
              </w:rPr>
            </w:pPr>
          </w:p>
        </w:tc>
        <w:tc>
          <w:tcPr>
            <w:tcW w:w="5528" w:type="dxa"/>
          </w:tcPr>
          <w:p w14:paraId="36FBE1B3" w14:textId="2C8A7075" w:rsidR="00013E96" w:rsidRPr="00A37C1D" w:rsidRDefault="00013E96">
            <w:pPr>
              <w:pBdr>
                <w:top w:val="nil"/>
                <w:left w:val="nil"/>
                <w:bottom w:val="nil"/>
                <w:right w:val="nil"/>
                <w:between w:val="nil"/>
              </w:pBdr>
              <w:jc w:val="both"/>
              <w:rPr>
                <w:rFonts w:ascii="Calibri" w:eastAsia="Arial Unicode MS" w:hAnsi="Calibri" w:cs="Calibri"/>
              </w:rPr>
            </w:pPr>
          </w:p>
          <w:p w14:paraId="58B32157" w14:textId="77777777" w:rsidR="00013E96" w:rsidRPr="00A37C1D" w:rsidRDefault="00013E96">
            <w:pPr>
              <w:pBdr>
                <w:top w:val="nil"/>
                <w:left w:val="nil"/>
                <w:bottom w:val="nil"/>
                <w:right w:val="nil"/>
                <w:between w:val="nil"/>
              </w:pBdr>
              <w:jc w:val="both"/>
              <w:rPr>
                <w:rFonts w:ascii="Calibri" w:eastAsia="Arial Unicode MS" w:hAnsi="Calibri" w:cs="Calibri"/>
              </w:rPr>
            </w:pPr>
          </w:p>
          <w:p w14:paraId="1229CC89" w14:textId="77EEB433" w:rsidR="00013E96" w:rsidRPr="00A37C1D" w:rsidRDefault="00013E96">
            <w:pPr>
              <w:pBdr>
                <w:top w:val="nil"/>
                <w:left w:val="nil"/>
                <w:bottom w:val="nil"/>
                <w:right w:val="nil"/>
                <w:between w:val="nil"/>
              </w:pBdr>
              <w:jc w:val="both"/>
              <w:rPr>
                <w:rFonts w:ascii="Calibri" w:eastAsia="Arial Unicode MS" w:hAnsi="Calibri" w:cs="Calibri"/>
              </w:rPr>
            </w:pPr>
            <w:r w:rsidRPr="00A37C1D">
              <w:rPr>
                <w:rFonts w:ascii="Calibri" w:hAnsi="Calibri" w:cs="Calibri"/>
              </w:rPr>
              <w:t xml:space="preserve">წარმოდგენილ დოკუმენტში ზოგადად და კერძოდ მეოთხე თავში არ იძებნება სგშ-ს მომზადების პროცესში დამატებით ჩატარებული შესწავლები (კონსულტაციები ადგილობრივ მოსახლეობასა და მუნიციპალიტეტების წარმომადგენლებთან, განმახორციელებთან, ადგილობრივ არასამთავრობო სექტორთან და ა.შ) კონკრეტული ლოკაციის </w:t>
            </w:r>
            <w:r w:rsidRPr="00A37C1D">
              <w:rPr>
                <w:rFonts w:ascii="Calibri" w:hAnsi="Calibri" w:cs="Calibri"/>
              </w:rPr>
              <w:lastRenderedPageBreak/>
              <w:t>თავისებურებების გათვალისწინებით და ამ შესწავლების საფუძველზე გაკეთებული უფრო კონკრეტული რეკომენდაციები უარყოფითი ზემოქმედებების მაქსიმალურად შესამცირებლად და დადებითი ზემოქმედებების წასახალისებლად;</w:t>
            </w:r>
          </w:p>
          <w:p w14:paraId="3FF1CEBE" w14:textId="77777777" w:rsidR="004E4369" w:rsidRPr="00A37C1D" w:rsidRDefault="004E4369" w:rsidP="004D576A">
            <w:pPr>
              <w:pBdr>
                <w:top w:val="nil"/>
                <w:left w:val="nil"/>
                <w:bottom w:val="nil"/>
                <w:right w:val="nil"/>
                <w:between w:val="nil"/>
              </w:pBdr>
              <w:jc w:val="both"/>
              <w:rPr>
                <w:rFonts w:ascii="Calibri" w:eastAsia="Arial Unicode MS" w:hAnsi="Calibri" w:cs="Calibri"/>
              </w:rPr>
            </w:pPr>
          </w:p>
        </w:tc>
        <w:tc>
          <w:tcPr>
            <w:tcW w:w="8363" w:type="dxa"/>
          </w:tcPr>
          <w:p w14:paraId="7C733887" w14:textId="32D3B2DD" w:rsidR="007E2D18" w:rsidRPr="00A37C1D" w:rsidRDefault="007E2D18" w:rsidP="007E2D18">
            <w:pPr>
              <w:jc w:val="both"/>
              <w:rPr>
                <w:rFonts w:ascii="Calibri" w:hAnsi="Calibri" w:cs="Calibri"/>
                <w:lang w:val="en-US"/>
              </w:rPr>
            </w:pPr>
            <w:proofErr w:type="gramStart"/>
            <w:r w:rsidRPr="00A37C1D">
              <w:rPr>
                <w:rFonts w:ascii="Calibri" w:hAnsi="Calibri" w:cs="Calibri"/>
                <w:lang w:val="en-US"/>
              </w:rPr>
              <w:lastRenderedPageBreak/>
              <w:t>საქართველოს</w:t>
            </w:r>
            <w:proofErr w:type="gramEnd"/>
            <w:r w:rsidRPr="00A37C1D">
              <w:rPr>
                <w:rFonts w:ascii="Calibri" w:hAnsi="Calibri" w:cs="Calibri"/>
                <w:lang w:val="en-US"/>
              </w:rPr>
              <w:t xml:space="preserve"> </w:t>
            </w:r>
            <w:proofErr w:type="spellStart"/>
            <w:r w:rsidRPr="00A37C1D">
              <w:rPr>
                <w:rFonts w:ascii="Calibri" w:hAnsi="Calibri" w:cs="Calibri"/>
                <w:lang w:val="en-US"/>
              </w:rPr>
              <w:t>ენერგეტიკისა</w:t>
            </w:r>
            <w:proofErr w:type="spellEnd"/>
            <w:r w:rsidRPr="00A37C1D">
              <w:rPr>
                <w:rFonts w:ascii="Calibri" w:hAnsi="Calibri" w:cs="Calibri"/>
                <w:lang w:val="en-US"/>
              </w:rPr>
              <w:t xml:space="preserve"> და </w:t>
            </w:r>
            <w:proofErr w:type="spellStart"/>
            <w:r w:rsidRPr="00A37C1D">
              <w:rPr>
                <w:rFonts w:ascii="Calibri" w:hAnsi="Calibri" w:cs="Calibri"/>
                <w:lang w:val="en-US"/>
              </w:rPr>
              <w:t>კლიმატის</w:t>
            </w:r>
            <w:proofErr w:type="spellEnd"/>
            <w:r w:rsidRPr="00A37C1D">
              <w:rPr>
                <w:rFonts w:ascii="Calibri" w:hAnsi="Calibri" w:cs="Calibri"/>
                <w:lang w:val="en-US"/>
              </w:rPr>
              <w:t xml:space="preserve"> ეროვნული </w:t>
            </w:r>
            <w:proofErr w:type="spellStart"/>
            <w:r w:rsidRPr="00A37C1D">
              <w:rPr>
                <w:rFonts w:ascii="Calibri" w:hAnsi="Calibri" w:cs="Calibri"/>
                <w:lang w:val="en-US"/>
              </w:rPr>
              <w:t>ინტეგრირებული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გეგმა</w:t>
            </w:r>
            <w:proofErr w:type="spellEnd"/>
            <w:r w:rsidRPr="00A37C1D">
              <w:rPr>
                <w:rFonts w:ascii="Calibri" w:hAnsi="Calibri" w:cs="Calibri"/>
                <w:lang w:val="en-US"/>
              </w:rPr>
              <w:t xml:space="preserve">  არის ძალიან </w:t>
            </w:r>
            <w:proofErr w:type="spellStart"/>
            <w:r w:rsidRPr="00A37C1D">
              <w:rPr>
                <w:rFonts w:ascii="Calibri" w:hAnsi="Calibri" w:cs="Calibri"/>
                <w:lang w:val="en-US"/>
              </w:rPr>
              <w:t>კომპლექსური</w:t>
            </w:r>
            <w:proofErr w:type="spellEnd"/>
            <w:r w:rsidRPr="00A37C1D">
              <w:rPr>
                <w:rFonts w:ascii="Calibri" w:hAnsi="Calibri" w:cs="Calibri"/>
                <w:lang w:val="en-US"/>
              </w:rPr>
              <w:t xml:space="preserve"> დოკუმენტი და </w:t>
            </w:r>
            <w:proofErr w:type="spellStart"/>
            <w:r w:rsidRPr="00A37C1D">
              <w:rPr>
                <w:rFonts w:ascii="Calibri" w:hAnsi="Calibri" w:cs="Calibri"/>
                <w:lang w:val="en-US"/>
              </w:rPr>
              <w:t>მოიცავს</w:t>
            </w:r>
            <w:proofErr w:type="spellEnd"/>
            <w:r w:rsidRPr="00A37C1D">
              <w:rPr>
                <w:rFonts w:ascii="Calibri" w:hAnsi="Calibri" w:cs="Calibri"/>
                <w:lang w:val="en-US"/>
              </w:rPr>
              <w:t xml:space="preserve"> </w:t>
            </w:r>
            <w:proofErr w:type="spellStart"/>
            <w:r w:rsidRPr="00A37C1D">
              <w:rPr>
                <w:rFonts w:ascii="Calibri" w:hAnsi="Calibri" w:cs="Calibri"/>
                <w:lang w:val="en-US"/>
              </w:rPr>
              <w:t>მთელ</w:t>
            </w:r>
            <w:proofErr w:type="spellEnd"/>
            <w:r w:rsidRPr="00A37C1D">
              <w:rPr>
                <w:rFonts w:ascii="Calibri" w:hAnsi="Calibri" w:cs="Calibri"/>
                <w:lang w:val="en-US"/>
              </w:rPr>
              <w:t xml:space="preserve"> საქართველოს. </w:t>
            </w:r>
            <w:proofErr w:type="spellStart"/>
            <w:r w:rsidR="00727488" w:rsidRPr="00A37C1D">
              <w:rPr>
                <w:rFonts w:ascii="Calibri" w:hAnsi="Calibri" w:cs="Calibri"/>
                <w:lang w:val="en-US"/>
              </w:rPr>
              <w:t>შესაბამისად</w:t>
            </w:r>
            <w:proofErr w:type="spellEnd"/>
            <w:r w:rsidR="00727488" w:rsidRPr="00A37C1D">
              <w:rPr>
                <w:rFonts w:ascii="Calibri" w:hAnsi="Calibri" w:cs="Calibri"/>
                <w:lang w:val="en-US"/>
              </w:rPr>
              <w:t xml:space="preserve">, </w:t>
            </w:r>
            <w:r w:rsidRPr="00A37C1D">
              <w:rPr>
                <w:rFonts w:ascii="Calibri" w:hAnsi="Calibri" w:cs="Calibri"/>
                <w:lang w:val="en-US"/>
              </w:rPr>
              <w:t>სგშ-</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ანგარიშის</w:t>
            </w:r>
            <w:proofErr w:type="spellEnd"/>
            <w:r w:rsidRPr="00A37C1D">
              <w:rPr>
                <w:rFonts w:ascii="Calibri" w:hAnsi="Calibri" w:cs="Calibri"/>
                <w:lang w:val="en-US"/>
              </w:rPr>
              <w:t xml:space="preserve"> </w:t>
            </w:r>
            <w:proofErr w:type="spellStart"/>
            <w:r w:rsidRPr="00A37C1D">
              <w:rPr>
                <w:rFonts w:ascii="Calibri" w:hAnsi="Calibri" w:cs="Calibri"/>
                <w:lang w:val="en-US"/>
              </w:rPr>
              <w:t>მომზადების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პროცესში</w:t>
            </w:r>
            <w:proofErr w:type="spellEnd"/>
            <w:r w:rsidRPr="00A37C1D">
              <w:rPr>
                <w:rFonts w:ascii="Calibri" w:hAnsi="Calibri" w:cs="Calibri"/>
                <w:lang w:val="en-US"/>
              </w:rPr>
              <w:t xml:space="preserve"> </w:t>
            </w:r>
            <w:proofErr w:type="spellStart"/>
            <w:r w:rsidRPr="00A37C1D">
              <w:rPr>
                <w:rFonts w:ascii="Calibri" w:hAnsi="Calibri" w:cs="Calibri"/>
                <w:lang w:val="en-US"/>
              </w:rPr>
              <w:t>აღწერილი</w:t>
            </w:r>
            <w:proofErr w:type="spellEnd"/>
            <w:r w:rsidRPr="00A37C1D">
              <w:rPr>
                <w:rFonts w:ascii="Calibri" w:hAnsi="Calibri" w:cs="Calibri"/>
                <w:lang w:val="en-US"/>
              </w:rPr>
              <w:t xml:space="preserve"> </w:t>
            </w:r>
            <w:proofErr w:type="spellStart"/>
            <w:r w:rsidRPr="00A37C1D">
              <w:rPr>
                <w:rFonts w:ascii="Calibri" w:hAnsi="Calibri" w:cs="Calibri"/>
                <w:lang w:val="en-US"/>
              </w:rPr>
              <w:t>სახის</w:t>
            </w:r>
            <w:proofErr w:type="spellEnd"/>
            <w:r w:rsidRPr="00A37C1D">
              <w:rPr>
                <w:rFonts w:ascii="Calibri" w:hAnsi="Calibri" w:cs="Calibri"/>
                <w:lang w:val="en-US"/>
              </w:rPr>
              <w:t xml:space="preserve"> </w:t>
            </w:r>
            <w:proofErr w:type="spellStart"/>
            <w:r w:rsidRPr="00A37C1D">
              <w:rPr>
                <w:rFonts w:ascii="Calibri" w:hAnsi="Calibri" w:cs="Calibri"/>
                <w:lang w:val="en-US"/>
              </w:rPr>
              <w:t>კონსულტაციების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გავლა</w:t>
            </w:r>
            <w:proofErr w:type="spellEnd"/>
            <w:r w:rsidRPr="00A37C1D">
              <w:rPr>
                <w:rFonts w:ascii="Calibri" w:hAnsi="Calibri" w:cs="Calibri"/>
                <w:lang w:val="en-US"/>
              </w:rPr>
              <w:t xml:space="preserve"> </w:t>
            </w:r>
            <w:proofErr w:type="spellStart"/>
            <w:r w:rsidRPr="00A37C1D">
              <w:rPr>
                <w:rFonts w:ascii="Calibri" w:hAnsi="Calibri" w:cs="Calibri"/>
                <w:lang w:val="en-US"/>
              </w:rPr>
              <w:t>ყველა</w:t>
            </w:r>
            <w:proofErr w:type="spellEnd"/>
            <w:r w:rsidRPr="00A37C1D">
              <w:rPr>
                <w:rFonts w:ascii="Calibri" w:hAnsi="Calibri" w:cs="Calibri"/>
                <w:lang w:val="en-US"/>
              </w:rPr>
              <w:t xml:space="preserve"> </w:t>
            </w:r>
            <w:proofErr w:type="spellStart"/>
            <w:r w:rsidRPr="00A37C1D">
              <w:rPr>
                <w:rFonts w:ascii="Calibri" w:hAnsi="Calibri" w:cs="Calibri"/>
                <w:lang w:val="en-US"/>
              </w:rPr>
              <w:t>დაინტერესებულ</w:t>
            </w:r>
            <w:proofErr w:type="spellEnd"/>
            <w:r w:rsidRPr="00A37C1D">
              <w:rPr>
                <w:rFonts w:ascii="Calibri" w:hAnsi="Calibri" w:cs="Calibri"/>
                <w:lang w:val="en-US"/>
              </w:rPr>
              <w:t xml:space="preserve"> </w:t>
            </w:r>
            <w:proofErr w:type="spellStart"/>
            <w:r w:rsidRPr="00A37C1D">
              <w:rPr>
                <w:rFonts w:ascii="Calibri" w:hAnsi="Calibri" w:cs="Calibri"/>
                <w:lang w:val="en-US"/>
              </w:rPr>
              <w:t>მხარესთან</w:t>
            </w:r>
            <w:proofErr w:type="spellEnd"/>
            <w:r w:rsidRPr="00A37C1D">
              <w:rPr>
                <w:rFonts w:ascii="Calibri" w:hAnsi="Calibri" w:cs="Calibri"/>
                <w:lang w:val="en-US"/>
              </w:rPr>
              <w:t xml:space="preserve"> </w:t>
            </w:r>
            <w:proofErr w:type="spellStart"/>
            <w:r w:rsidRPr="00A37C1D">
              <w:rPr>
                <w:rFonts w:ascii="Calibri" w:hAnsi="Calibri" w:cs="Calibri"/>
                <w:lang w:val="en-US"/>
              </w:rPr>
              <w:t>ქვეყნის</w:t>
            </w:r>
            <w:proofErr w:type="spellEnd"/>
            <w:r w:rsidRPr="00A37C1D">
              <w:rPr>
                <w:rFonts w:ascii="Calibri" w:hAnsi="Calibri" w:cs="Calibri"/>
                <w:lang w:val="en-US"/>
              </w:rPr>
              <w:t xml:space="preserve"> </w:t>
            </w:r>
            <w:proofErr w:type="spellStart"/>
            <w:r w:rsidRPr="00A37C1D">
              <w:rPr>
                <w:rFonts w:ascii="Calibri" w:hAnsi="Calibri" w:cs="Calibri"/>
                <w:lang w:val="en-US"/>
              </w:rPr>
              <w:t>მასშტაბით</w:t>
            </w:r>
            <w:proofErr w:type="spellEnd"/>
            <w:r w:rsidRPr="00A37C1D">
              <w:rPr>
                <w:rFonts w:ascii="Calibri" w:hAnsi="Calibri" w:cs="Calibri"/>
                <w:lang w:val="en-US"/>
              </w:rPr>
              <w:t xml:space="preserve"> </w:t>
            </w:r>
            <w:proofErr w:type="spellStart"/>
            <w:r w:rsidRPr="00A37C1D">
              <w:rPr>
                <w:rFonts w:ascii="Calibri" w:hAnsi="Calibri" w:cs="Calibri"/>
                <w:lang w:val="en-US"/>
              </w:rPr>
              <w:t>შეუძლებელი</w:t>
            </w:r>
            <w:proofErr w:type="spellEnd"/>
            <w:r w:rsidRPr="00A37C1D">
              <w:rPr>
                <w:rFonts w:ascii="Calibri" w:hAnsi="Calibri" w:cs="Calibri"/>
                <w:lang w:val="en-US"/>
              </w:rPr>
              <w:t xml:space="preserve"> </w:t>
            </w:r>
            <w:proofErr w:type="spellStart"/>
            <w:r w:rsidRPr="00A37C1D">
              <w:rPr>
                <w:rFonts w:ascii="Calibri" w:hAnsi="Calibri" w:cs="Calibri"/>
                <w:lang w:val="en-US"/>
              </w:rPr>
              <w:t>იქნებოდა</w:t>
            </w:r>
            <w:proofErr w:type="spellEnd"/>
            <w:r w:rsidRPr="00A37C1D">
              <w:rPr>
                <w:rFonts w:ascii="Calibri" w:hAnsi="Calibri" w:cs="Calibri"/>
                <w:lang w:val="en-US"/>
              </w:rPr>
              <w:t xml:space="preserve"> </w:t>
            </w:r>
            <w:proofErr w:type="spellStart"/>
            <w:r w:rsidRPr="00A37C1D">
              <w:rPr>
                <w:rFonts w:ascii="Calibri" w:hAnsi="Calibri" w:cs="Calibri"/>
                <w:lang w:val="en-US"/>
              </w:rPr>
              <w:t>არსებული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დროისა</w:t>
            </w:r>
            <w:proofErr w:type="spellEnd"/>
            <w:r w:rsidRPr="00A37C1D">
              <w:rPr>
                <w:rFonts w:ascii="Calibri" w:hAnsi="Calibri" w:cs="Calibri"/>
                <w:lang w:val="en-US"/>
              </w:rPr>
              <w:t xml:space="preserve"> და </w:t>
            </w:r>
            <w:proofErr w:type="spellStart"/>
            <w:r w:rsidRPr="00A37C1D">
              <w:rPr>
                <w:rFonts w:ascii="Calibri" w:hAnsi="Calibri" w:cs="Calibri"/>
                <w:lang w:val="en-US"/>
              </w:rPr>
              <w:t>რესურსის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გათვალისწინებით</w:t>
            </w:r>
            <w:proofErr w:type="spellEnd"/>
            <w:r w:rsidRPr="00A37C1D">
              <w:rPr>
                <w:rFonts w:ascii="Calibri" w:hAnsi="Calibri" w:cs="Calibri"/>
                <w:lang w:val="en-US"/>
              </w:rPr>
              <w:t xml:space="preserve">. </w:t>
            </w:r>
          </w:p>
          <w:p w14:paraId="6B4C9EA2" w14:textId="77777777" w:rsidR="007E2D18" w:rsidRPr="00A37C1D" w:rsidRDefault="007E2D18" w:rsidP="007E2D18">
            <w:pPr>
              <w:jc w:val="both"/>
              <w:rPr>
                <w:rFonts w:ascii="Calibri" w:hAnsi="Calibri" w:cs="Calibri"/>
                <w:lang w:val="en-US"/>
              </w:rPr>
            </w:pPr>
          </w:p>
          <w:p w14:paraId="060E6651" w14:textId="5BC706AA" w:rsidR="004E4369" w:rsidRPr="00A37C1D" w:rsidRDefault="00727488" w:rsidP="007E2D18">
            <w:pPr>
              <w:jc w:val="both"/>
              <w:rPr>
                <w:rFonts w:ascii="Calibri" w:hAnsi="Calibri" w:cs="Calibri"/>
                <w:lang w:val="en-US"/>
              </w:rPr>
            </w:pPr>
            <w:proofErr w:type="spellStart"/>
            <w:r w:rsidRPr="00A37C1D">
              <w:rPr>
                <w:rFonts w:ascii="Calibri" w:hAnsi="Calibri" w:cs="Calibri"/>
                <w:lang w:val="en-US"/>
              </w:rPr>
              <w:t>აქვე</w:t>
            </w:r>
            <w:proofErr w:type="spellEnd"/>
            <w:r w:rsidRPr="00A37C1D">
              <w:rPr>
                <w:rFonts w:ascii="Calibri" w:hAnsi="Calibri" w:cs="Calibri"/>
                <w:lang w:val="en-US"/>
              </w:rPr>
              <w:t xml:space="preserve"> </w:t>
            </w:r>
            <w:proofErr w:type="spellStart"/>
            <w:r w:rsidR="007E2D18" w:rsidRPr="00A37C1D">
              <w:rPr>
                <w:rFonts w:ascii="Calibri" w:hAnsi="Calibri" w:cs="Calibri"/>
                <w:lang w:val="en-US"/>
              </w:rPr>
              <w:t>აღსანიშნავია</w:t>
            </w:r>
            <w:proofErr w:type="spellEnd"/>
            <w:r w:rsidR="007E2D18" w:rsidRPr="00A37C1D">
              <w:rPr>
                <w:rFonts w:ascii="Calibri" w:hAnsi="Calibri" w:cs="Calibri"/>
                <w:lang w:val="en-US"/>
              </w:rPr>
              <w:t xml:space="preserve">, რომ </w:t>
            </w:r>
            <w:proofErr w:type="spellStart"/>
            <w:r w:rsidR="007E2D18" w:rsidRPr="00A37C1D">
              <w:rPr>
                <w:rFonts w:ascii="Calibri" w:hAnsi="Calibri" w:cs="Calibri"/>
                <w:lang w:val="en-US"/>
              </w:rPr>
              <w:t>სტრატეგიული</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დოკუმენტების</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მომზადების</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პროცესში</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ეკონომიკისა</w:t>
            </w:r>
            <w:proofErr w:type="spellEnd"/>
            <w:r w:rsidR="007E2D18" w:rsidRPr="00A37C1D">
              <w:rPr>
                <w:rFonts w:ascii="Calibri" w:hAnsi="Calibri" w:cs="Calibri"/>
                <w:lang w:val="en-US"/>
              </w:rPr>
              <w:t xml:space="preserve"> და </w:t>
            </w:r>
            <w:proofErr w:type="spellStart"/>
            <w:r w:rsidR="007E2D18" w:rsidRPr="00A37C1D">
              <w:rPr>
                <w:rFonts w:ascii="Calibri" w:hAnsi="Calibri" w:cs="Calibri"/>
                <w:lang w:val="en-US"/>
              </w:rPr>
              <w:t>მდგრადი</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განვითარების</w:t>
            </w:r>
            <w:proofErr w:type="spellEnd"/>
            <w:r w:rsidR="007E2D18" w:rsidRPr="00A37C1D">
              <w:rPr>
                <w:rFonts w:ascii="Calibri" w:hAnsi="Calibri" w:cs="Calibri"/>
                <w:lang w:val="en-US"/>
              </w:rPr>
              <w:t xml:space="preserve"> სამინისტრო </w:t>
            </w:r>
            <w:proofErr w:type="spellStart"/>
            <w:r w:rsidR="007E2D18" w:rsidRPr="00A37C1D">
              <w:rPr>
                <w:rFonts w:ascii="Calibri" w:hAnsi="Calibri" w:cs="Calibri"/>
                <w:lang w:val="en-US"/>
              </w:rPr>
              <w:t>აწარმოებდა</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აქტიურ</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კონსულტაციებს</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ყველა</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დაინტერესებულ</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მხარესთან</w:t>
            </w:r>
            <w:proofErr w:type="spellEnd"/>
            <w:r w:rsidR="007E2D18" w:rsidRPr="00A37C1D">
              <w:rPr>
                <w:rFonts w:ascii="Calibri" w:hAnsi="Calibri" w:cs="Calibri"/>
                <w:lang w:val="en-US"/>
              </w:rPr>
              <w:t xml:space="preserve">. </w:t>
            </w:r>
            <w:proofErr w:type="spellStart"/>
            <w:proofErr w:type="gramStart"/>
            <w:r w:rsidR="007E2D18" w:rsidRPr="00A37C1D">
              <w:rPr>
                <w:rFonts w:ascii="Calibri" w:hAnsi="Calibri" w:cs="Calibri"/>
                <w:lang w:val="en-US"/>
              </w:rPr>
              <w:t>შესაბამისად</w:t>
            </w:r>
            <w:proofErr w:type="spellEnd"/>
            <w:proofErr w:type="gramEnd"/>
            <w:r w:rsidR="007E2D18" w:rsidRPr="00A37C1D">
              <w:rPr>
                <w:rFonts w:ascii="Calibri" w:hAnsi="Calibri" w:cs="Calibri"/>
                <w:lang w:val="en-US"/>
              </w:rPr>
              <w:t>, სგშ-</w:t>
            </w:r>
            <w:proofErr w:type="spellStart"/>
            <w:r w:rsidR="007E2D18" w:rsidRPr="00A37C1D">
              <w:rPr>
                <w:rFonts w:ascii="Calibri" w:hAnsi="Calibri" w:cs="Calibri"/>
                <w:lang w:val="en-US"/>
              </w:rPr>
              <w:t>ის</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ანგარიში</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lastRenderedPageBreak/>
              <w:t>ეყრდნობა</w:t>
            </w:r>
            <w:proofErr w:type="spellEnd"/>
            <w:r w:rsidR="007E2D18" w:rsidRPr="00A37C1D">
              <w:rPr>
                <w:rFonts w:ascii="Calibri" w:hAnsi="Calibri" w:cs="Calibri"/>
                <w:lang w:val="en-US"/>
              </w:rPr>
              <w:t xml:space="preserve"> საქართველოს </w:t>
            </w:r>
            <w:proofErr w:type="spellStart"/>
            <w:r w:rsidR="007E2D18" w:rsidRPr="00A37C1D">
              <w:rPr>
                <w:rFonts w:ascii="Calibri" w:hAnsi="Calibri" w:cs="Calibri"/>
                <w:lang w:val="en-US"/>
              </w:rPr>
              <w:t>ენერგეტიკისა</w:t>
            </w:r>
            <w:proofErr w:type="spellEnd"/>
            <w:r w:rsidR="007E2D18" w:rsidRPr="00A37C1D">
              <w:rPr>
                <w:rFonts w:ascii="Calibri" w:hAnsi="Calibri" w:cs="Calibri"/>
                <w:lang w:val="en-US"/>
              </w:rPr>
              <w:t xml:space="preserve"> და </w:t>
            </w:r>
            <w:proofErr w:type="spellStart"/>
            <w:r w:rsidR="007E2D18" w:rsidRPr="00A37C1D">
              <w:rPr>
                <w:rFonts w:ascii="Calibri" w:hAnsi="Calibri" w:cs="Calibri"/>
                <w:lang w:val="en-US"/>
              </w:rPr>
              <w:t>კლიმატის</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ეროვნულ</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ინტეგრირებულ</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გეგმაში</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წარმოდგენილ</w:t>
            </w:r>
            <w:proofErr w:type="spellEnd"/>
            <w:r w:rsidR="007E2D18" w:rsidRPr="00A37C1D">
              <w:rPr>
                <w:rFonts w:ascii="Calibri" w:hAnsi="Calibri" w:cs="Calibri"/>
                <w:lang w:val="en-US"/>
              </w:rPr>
              <w:t xml:space="preserve"> </w:t>
            </w:r>
            <w:proofErr w:type="spellStart"/>
            <w:r w:rsidR="007E2D18" w:rsidRPr="00A37C1D">
              <w:rPr>
                <w:rFonts w:ascii="Calibri" w:hAnsi="Calibri" w:cs="Calibri"/>
                <w:lang w:val="en-US"/>
              </w:rPr>
              <w:t>ინფორმაციას</w:t>
            </w:r>
            <w:proofErr w:type="spellEnd"/>
            <w:r w:rsidR="007E2D18" w:rsidRPr="00A37C1D">
              <w:rPr>
                <w:rFonts w:ascii="Calibri" w:hAnsi="Calibri" w:cs="Calibri"/>
                <w:lang w:val="en-US"/>
              </w:rPr>
              <w:t xml:space="preserve">. </w:t>
            </w:r>
          </w:p>
        </w:tc>
      </w:tr>
      <w:tr w:rsidR="00013E96" w:rsidRPr="00A37C1D" w14:paraId="46903364" w14:textId="77777777" w:rsidTr="00346E59">
        <w:tc>
          <w:tcPr>
            <w:tcW w:w="562" w:type="dxa"/>
          </w:tcPr>
          <w:p w14:paraId="228BF4B5" w14:textId="77777777" w:rsidR="00013E96" w:rsidRPr="00A37C1D" w:rsidRDefault="00013E96">
            <w:pPr>
              <w:pStyle w:val="ListParagraph"/>
              <w:numPr>
                <w:ilvl w:val="0"/>
                <w:numId w:val="7"/>
              </w:numPr>
              <w:rPr>
                <w:rFonts w:ascii="Calibri" w:hAnsi="Calibri" w:cs="Calibri"/>
              </w:rPr>
            </w:pPr>
          </w:p>
        </w:tc>
        <w:tc>
          <w:tcPr>
            <w:tcW w:w="5528" w:type="dxa"/>
          </w:tcPr>
          <w:p w14:paraId="6E378A55" w14:textId="5E38EB12" w:rsidR="00013E96" w:rsidRPr="00A37C1D" w:rsidDel="00013E96" w:rsidRDefault="00013E96">
            <w:pPr>
              <w:pBdr>
                <w:top w:val="nil"/>
                <w:left w:val="nil"/>
                <w:bottom w:val="nil"/>
                <w:right w:val="nil"/>
                <w:between w:val="nil"/>
              </w:pBdr>
              <w:jc w:val="both"/>
              <w:rPr>
                <w:rFonts w:ascii="Calibri" w:eastAsia="Arial Unicode MS" w:hAnsi="Calibri" w:cs="Calibri"/>
              </w:rPr>
            </w:pPr>
            <w:r w:rsidRPr="00A37C1D">
              <w:rPr>
                <w:rFonts w:ascii="Calibri" w:hAnsi="Calibri" w:cs="Calibri"/>
              </w:rPr>
              <w:t>მიზანშეწონილია, სგშ-ის ანგარიშის 4.1.2. თავის არასახიფათო ნარჩენების ნაგავსაყრელების, ასევე, მუნიციპალური ჩამდინარე წყლების გამწმენდი ნაგებობების მოწყობა/ექსპლუატაციასთან დაკავშირებულ ნაწილებში განხილულ იქნეს არამხოლოდ აღნიშნული ღონისძიებების განხორციელებით გამოწვეული სათბური აირების შემცირების პოტენციალი, არამედ აღინიშნოს ნაგავსაყრელების და გამწმენდი ნაგებობების ფუნქციონირებასთან დაკავშირებული მავნე ნივთიერებების ემისიებით ჰაერზე გამოწვეული ზემოქმედებაც (სულ მცირე, მავნე ნივთიერებათა სახეობების იდენტიფიკაციის მხრივ). ამასთან, ხაზგასასმელია, რომ მეთანის ჩაჭერა და ჩირაღდანზე უტილიზაცია თავის მხრივ დაკავშირებულია სულ მცირე წვის პროდუქტების ატმოსფერულ ჰაერში ემისიებთან;</w:t>
            </w:r>
          </w:p>
        </w:tc>
        <w:tc>
          <w:tcPr>
            <w:tcW w:w="8363" w:type="dxa"/>
          </w:tcPr>
          <w:p w14:paraId="63C2E320" w14:textId="4E8313CE" w:rsidR="00013E96" w:rsidRPr="00A37C1D" w:rsidRDefault="007E2D18">
            <w:pPr>
              <w:jc w:val="both"/>
              <w:rPr>
                <w:rFonts w:ascii="Calibri" w:hAnsi="Calibri" w:cs="Calibri"/>
                <w:lang w:val="en-US"/>
              </w:rPr>
            </w:pPr>
            <w:proofErr w:type="spellStart"/>
            <w:proofErr w:type="gramStart"/>
            <w:r w:rsidRPr="00A37C1D">
              <w:rPr>
                <w:rFonts w:ascii="Calibri" w:hAnsi="Calibri" w:cs="Calibri"/>
                <w:lang w:val="en-US"/>
              </w:rPr>
              <w:t>თავში</w:t>
            </w:r>
            <w:proofErr w:type="spellEnd"/>
            <w:proofErr w:type="gramEnd"/>
            <w:r w:rsidRPr="00A37C1D">
              <w:rPr>
                <w:rFonts w:ascii="Calibri" w:hAnsi="Calibri" w:cs="Calibri"/>
                <w:lang w:val="en-US"/>
              </w:rPr>
              <w:t xml:space="preserve"> 4.1.2 </w:t>
            </w:r>
            <w:proofErr w:type="spellStart"/>
            <w:r w:rsidRPr="00A37C1D">
              <w:rPr>
                <w:rFonts w:ascii="Calibri" w:hAnsi="Calibri" w:cs="Calibri"/>
                <w:lang w:val="en-US"/>
              </w:rPr>
              <w:t>განხილულია</w:t>
            </w:r>
            <w:proofErr w:type="spellEnd"/>
            <w:r w:rsidRPr="00A37C1D">
              <w:rPr>
                <w:rFonts w:ascii="Calibri" w:hAnsi="Calibri" w:cs="Calibri"/>
                <w:lang w:val="en-US"/>
              </w:rPr>
              <w:t xml:space="preserve"> </w:t>
            </w:r>
            <w:proofErr w:type="spellStart"/>
            <w:r w:rsidRPr="00A37C1D">
              <w:rPr>
                <w:rFonts w:ascii="Calibri" w:hAnsi="Calibri" w:cs="Calibri"/>
                <w:lang w:val="en-US"/>
              </w:rPr>
              <w:t>როგორც</w:t>
            </w:r>
            <w:proofErr w:type="spellEnd"/>
            <w:r w:rsidRPr="00A37C1D">
              <w:rPr>
                <w:rFonts w:ascii="Calibri" w:hAnsi="Calibri" w:cs="Calibri"/>
                <w:lang w:val="en-US"/>
              </w:rPr>
              <w:t xml:space="preserve"> </w:t>
            </w:r>
            <w:proofErr w:type="spellStart"/>
            <w:r w:rsidRPr="00A37C1D">
              <w:rPr>
                <w:rFonts w:ascii="Calibri" w:hAnsi="Calibri" w:cs="Calibri"/>
                <w:lang w:val="en-US"/>
              </w:rPr>
              <w:t>ახალი</w:t>
            </w:r>
            <w:proofErr w:type="spellEnd"/>
            <w:r w:rsidRPr="00A37C1D">
              <w:rPr>
                <w:rFonts w:ascii="Calibri" w:hAnsi="Calibri" w:cs="Calibri"/>
                <w:lang w:val="en-US"/>
              </w:rPr>
              <w:t xml:space="preserve"> </w:t>
            </w:r>
            <w:proofErr w:type="spellStart"/>
            <w:r w:rsidRPr="00A37C1D">
              <w:rPr>
                <w:rFonts w:ascii="Calibri" w:hAnsi="Calibri" w:cs="Calibri"/>
                <w:lang w:val="en-US"/>
              </w:rPr>
              <w:t>არასახიფათო</w:t>
            </w:r>
            <w:proofErr w:type="spellEnd"/>
            <w:r w:rsidRPr="00A37C1D">
              <w:rPr>
                <w:rFonts w:ascii="Calibri" w:hAnsi="Calibri" w:cs="Calibri"/>
                <w:lang w:val="en-US"/>
              </w:rPr>
              <w:t xml:space="preserve"> ნარჩენების </w:t>
            </w:r>
            <w:proofErr w:type="spellStart"/>
            <w:r w:rsidRPr="00A37C1D">
              <w:rPr>
                <w:rFonts w:ascii="Calibri" w:hAnsi="Calibri" w:cs="Calibri"/>
                <w:lang w:val="en-US"/>
              </w:rPr>
              <w:t>ნაგავსაყრელების</w:t>
            </w:r>
            <w:proofErr w:type="spellEnd"/>
            <w:r w:rsidR="00727488" w:rsidRPr="00A37C1D">
              <w:rPr>
                <w:rFonts w:ascii="Calibri" w:hAnsi="Calibri" w:cs="Calibri"/>
                <w:lang w:val="en-US"/>
              </w:rPr>
              <w:t>,</w:t>
            </w:r>
            <w:r w:rsidRPr="00A37C1D">
              <w:rPr>
                <w:rFonts w:ascii="Calibri" w:hAnsi="Calibri" w:cs="Calibri"/>
                <w:lang w:val="en-US"/>
              </w:rPr>
              <w:t xml:space="preserve"> </w:t>
            </w:r>
            <w:proofErr w:type="spellStart"/>
            <w:r w:rsidRPr="00A37C1D">
              <w:rPr>
                <w:rFonts w:ascii="Calibri" w:hAnsi="Calibri" w:cs="Calibri"/>
                <w:lang w:val="en-US"/>
              </w:rPr>
              <w:t>ისე</w:t>
            </w:r>
            <w:proofErr w:type="spellEnd"/>
            <w:r w:rsidRPr="00A37C1D">
              <w:rPr>
                <w:rFonts w:ascii="Calibri" w:hAnsi="Calibri" w:cs="Calibri"/>
                <w:lang w:val="en-US"/>
              </w:rPr>
              <w:t xml:space="preserve"> </w:t>
            </w:r>
            <w:proofErr w:type="spellStart"/>
            <w:r w:rsidRPr="00A37C1D">
              <w:rPr>
                <w:rFonts w:ascii="Calibri" w:hAnsi="Calibri" w:cs="Calibri"/>
                <w:lang w:val="en-US"/>
              </w:rPr>
              <w:t>ჩამდინარე</w:t>
            </w:r>
            <w:proofErr w:type="spellEnd"/>
            <w:r w:rsidRPr="00A37C1D">
              <w:rPr>
                <w:rFonts w:ascii="Calibri" w:hAnsi="Calibri" w:cs="Calibri"/>
                <w:lang w:val="en-US"/>
              </w:rPr>
              <w:t xml:space="preserve"> </w:t>
            </w:r>
            <w:proofErr w:type="spellStart"/>
            <w:r w:rsidRPr="00A37C1D">
              <w:rPr>
                <w:rFonts w:ascii="Calibri" w:hAnsi="Calibri" w:cs="Calibri"/>
                <w:lang w:val="en-US"/>
              </w:rPr>
              <w:t>წყლების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გამწმენდი</w:t>
            </w:r>
            <w:proofErr w:type="spellEnd"/>
            <w:r w:rsidRPr="00A37C1D">
              <w:rPr>
                <w:rFonts w:ascii="Calibri" w:hAnsi="Calibri" w:cs="Calibri"/>
                <w:lang w:val="en-US"/>
              </w:rPr>
              <w:t xml:space="preserve"> </w:t>
            </w:r>
            <w:proofErr w:type="spellStart"/>
            <w:r w:rsidRPr="00A37C1D">
              <w:rPr>
                <w:rFonts w:ascii="Calibri" w:hAnsi="Calibri" w:cs="Calibri"/>
                <w:lang w:val="en-US"/>
              </w:rPr>
              <w:t>ნაგებობების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მშენებლობით</w:t>
            </w:r>
            <w:proofErr w:type="spellEnd"/>
            <w:r w:rsidRPr="00A37C1D">
              <w:rPr>
                <w:rFonts w:ascii="Calibri" w:hAnsi="Calibri" w:cs="Calibri"/>
                <w:lang w:val="en-US"/>
              </w:rPr>
              <w:t xml:space="preserve"> და </w:t>
            </w:r>
            <w:proofErr w:type="spellStart"/>
            <w:r w:rsidRPr="00A37C1D">
              <w:rPr>
                <w:rFonts w:ascii="Calibri" w:hAnsi="Calibri" w:cs="Calibri"/>
                <w:lang w:val="en-US"/>
              </w:rPr>
              <w:t>ოპერირებით</w:t>
            </w:r>
            <w:proofErr w:type="spellEnd"/>
            <w:r w:rsidRPr="00A37C1D">
              <w:rPr>
                <w:rFonts w:ascii="Calibri" w:hAnsi="Calibri" w:cs="Calibri"/>
                <w:lang w:val="en-US"/>
              </w:rPr>
              <w:t xml:space="preserve"> </w:t>
            </w:r>
            <w:proofErr w:type="spellStart"/>
            <w:r w:rsidRPr="00A37C1D">
              <w:rPr>
                <w:rFonts w:ascii="Calibri" w:hAnsi="Calibri" w:cs="Calibri"/>
                <w:lang w:val="en-US"/>
              </w:rPr>
              <w:t>გამოწვეული</w:t>
            </w:r>
            <w:proofErr w:type="spellEnd"/>
            <w:r w:rsidRPr="00A37C1D">
              <w:rPr>
                <w:rFonts w:ascii="Calibri" w:hAnsi="Calibri" w:cs="Calibri"/>
                <w:lang w:val="en-US"/>
              </w:rPr>
              <w:t xml:space="preserve"> </w:t>
            </w:r>
            <w:proofErr w:type="spellStart"/>
            <w:r w:rsidRPr="00A37C1D">
              <w:rPr>
                <w:rFonts w:ascii="Calibri" w:hAnsi="Calibri" w:cs="Calibri"/>
                <w:lang w:val="en-US"/>
              </w:rPr>
              <w:t>ზემოქმედების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საკითხები</w:t>
            </w:r>
            <w:proofErr w:type="spellEnd"/>
            <w:r w:rsidRPr="00A37C1D">
              <w:rPr>
                <w:rFonts w:ascii="Calibri" w:hAnsi="Calibri" w:cs="Calibri"/>
                <w:lang w:val="en-US"/>
              </w:rPr>
              <w:t xml:space="preserve">  (</w:t>
            </w:r>
            <w:proofErr w:type="spellStart"/>
            <w:r w:rsidRPr="00A37C1D">
              <w:rPr>
                <w:rFonts w:ascii="Calibri" w:hAnsi="Calibri" w:cs="Calibri"/>
                <w:lang w:val="en-US"/>
              </w:rPr>
              <w:t>მიუხედავად</w:t>
            </w:r>
            <w:proofErr w:type="spellEnd"/>
            <w:r w:rsidRPr="00A37C1D">
              <w:rPr>
                <w:rFonts w:ascii="Calibri" w:hAnsi="Calibri" w:cs="Calibri"/>
                <w:lang w:val="en-US"/>
              </w:rPr>
              <w:t xml:space="preserve"> </w:t>
            </w:r>
            <w:proofErr w:type="spellStart"/>
            <w:r w:rsidRPr="00A37C1D">
              <w:rPr>
                <w:rFonts w:ascii="Calibri" w:hAnsi="Calibri" w:cs="Calibri"/>
                <w:lang w:val="en-US"/>
              </w:rPr>
              <w:t>იმისა</w:t>
            </w:r>
            <w:proofErr w:type="spellEnd"/>
            <w:r w:rsidRPr="00A37C1D">
              <w:rPr>
                <w:rFonts w:ascii="Calibri" w:hAnsi="Calibri" w:cs="Calibri"/>
                <w:lang w:val="en-US"/>
              </w:rPr>
              <w:t xml:space="preserve">, რომ </w:t>
            </w:r>
            <w:proofErr w:type="spellStart"/>
            <w:r w:rsidRPr="00A37C1D">
              <w:rPr>
                <w:rFonts w:ascii="Calibri" w:hAnsi="Calibri" w:cs="Calibri"/>
                <w:lang w:val="en-US"/>
              </w:rPr>
              <w:t>ჩამდინარე</w:t>
            </w:r>
            <w:proofErr w:type="spellEnd"/>
            <w:r w:rsidRPr="00A37C1D">
              <w:rPr>
                <w:rFonts w:ascii="Calibri" w:hAnsi="Calibri" w:cs="Calibri"/>
                <w:lang w:val="en-US"/>
              </w:rPr>
              <w:t xml:space="preserve"> </w:t>
            </w:r>
            <w:proofErr w:type="spellStart"/>
            <w:r w:rsidRPr="00A37C1D">
              <w:rPr>
                <w:rFonts w:ascii="Calibri" w:hAnsi="Calibri" w:cs="Calibri"/>
                <w:lang w:val="en-US"/>
              </w:rPr>
              <w:t>წყლების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გამწმენდი</w:t>
            </w:r>
            <w:proofErr w:type="spellEnd"/>
            <w:r w:rsidRPr="00A37C1D">
              <w:rPr>
                <w:rFonts w:ascii="Calibri" w:hAnsi="Calibri" w:cs="Calibri"/>
                <w:lang w:val="en-US"/>
              </w:rPr>
              <w:t xml:space="preserve"> </w:t>
            </w:r>
            <w:proofErr w:type="spellStart"/>
            <w:r w:rsidRPr="00A37C1D">
              <w:rPr>
                <w:rFonts w:ascii="Calibri" w:hAnsi="Calibri" w:cs="Calibri"/>
                <w:lang w:val="en-US"/>
              </w:rPr>
              <w:t>ნაგებობების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ატმოსფერულ</w:t>
            </w:r>
            <w:proofErr w:type="spellEnd"/>
            <w:r w:rsidRPr="00A37C1D">
              <w:rPr>
                <w:rFonts w:ascii="Calibri" w:hAnsi="Calibri" w:cs="Calibri"/>
                <w:lang w:val="en-US"/>
              </w:rPr>
              <w:t xml:space="preserve"> </w:t>
            </w:r>
            <w:proofErr w:type="spellStart"/>
            <w:r w:rsidRPr="00A37C1D">
              <w:rPr>
                <w:rFonts w:ascii="Calibri" w:hAnsi="Calibri" w:cs="Calibri"/>
                <w:lang w:val="en-US"/>
              </w:rPr>
              <w:t>ჰაერზე</w:t>
            </w:r>
            <w:proofErr w:type="spellEnd"/>
            <w:r w:rsidRPr="00A37C1D">
              <w:rPr>
                <w:rFonts w:ascii="Calibri" w:hAnsi="Calibri" w:cs="Calibri"/>
                <w:lang w:val="en-US"/>
              </w:rPr>
              <w:t xml:space="preserve"> </w:t>
            </w:r>
            <w:proofErr w:type="spellStart"/>
            <w:r w:rsidRPr="00A37C1D">
              <w:rPr>
                <w:rFonts w:ascii="Calibri" w:hAnsi="Calibri" w:cs="Calibri"/>
                <w:lang w:val="en-US"/>
              </w:rPr>
              <w:t>ზემოქმედება</w:t>
            </w:r>
            <w:proofErr w:type="spellEnd"/>
            <w:r w:rsidRPr="00A37C1D">
              <w:rPr>
                <w:rFonts w:ascii="Calibri" w:hAnsi="Calibri" w:cs="Calibri"/>
                <w:lang w:val="en-US"/>
              </w:rPr>
              <w:t xml:space="preserve"> </w:t>
            </w:r>
            <w:proofErr w:type="spellStart"/>
            <w:r w:rsidRPr="00A37C1D">
              <w:rPr>
                <w:rFonts w:ascii="Calibri" w:hAnsi="Calibri" w:cs="Calibri"/>
                <w:lang w:val="en-US"/>
              </w:rPr>
              <w:t>არ</w:t>
            </w:r>
            <w:proofErr w:type="spellEnd"/>
            <w:r w:rsidRPr="00A37C1D">
              <w:rPr>
                <w:rFonts w:ascii="Calibri" w:hAnsi="Calibri" w:cs="Calibri"/>
                <w:lang w:val="en-US"/>
              </w:rPr>
              <w:t xml:space="preserve"> </w:t>
            </w:r>
            <w:proofErr w:type="spellStart"/>
            <w:r w:rsidRPr="00A37C1D">
              <w:rPr>
                <w:rFonts w:ascii="Calibri" w:hAnsi="Calibri" w:cs="Calibri"/>
                <w:lang w:val="en-US"/>
              </w:rPr>
              <w:t>იყო</w:t>
            </w:r>
            <w:proofErr w:type="spellEnd"/>
            <w:r w:rsidRPr="00A37C1D">
              <w:rPr>
                <w:rFonts w:ascii="Calibri" w:hAnsi="Calibri" w:cs="Calibri"/>
                <w:lang w:val="en-US"/>
              </w:rPr>
              <w:t xml:space="preserve"> </w:t>
            </w:r>
            <w:proofErr w:type="spellStart"/>
            <w:r w:rsidRPr="00A37C1D">
              <w:rPr>
                <w:rFonts w:ascii="Calibri" w:hAnsi="Calibri" w:cs="Calibri"/>
                <w:lang w:val="en-US"/>
              </w:rPr>
              <w:t>იდენტიფიცირებული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როგორც</w:t>
            </w:r>
            <w:proofErr w:type="spellEnd"/>
            <w:r w:rsidRPr="00A37C1D">
              <w:rPr>
                <w:rFonts w:ascii="Calibri" w:hAnsi="Calibri" w:cs="Calibri"/>
                <w:lang w:val="en-US"/>
              </w:rPr>
              <w:t xml:space="preserve"> </w:t>
            </w:r>
            <w:proofErr w:type="spellStart"/>
            <w:r w:rsidRPr="00A37C1D">
              <w:rPr>
                <w:rFonts w:ascii="Calibri" w:hAnsi="Calibri" w:cs="Calibri"/>
                <w:lang w:val="en-US"/>
              </w:rPr>
              <w:t>მნიშვნელოვანი</w:t>
            </w:r>
            <w:proofErr w:type="spellEnd"/>
            <w:r w:rsidRPr="00A37C1D">
              <w:rPr>
                <w:rFonts w:ascii="Calibri" w:hAnsi="Calibri" w:cs="Calibri"/>
                <w:lang w:val="en-US"/>
              </w:rPr>
              <w:t xml:space="preserve"> </w:t>
            </w:r>
            <w:proofErr w:type="spellStart"/>
            <w:r w:rsidRPr="00A37C1D">
              <w:rPr>
                <w:rFonts w:ascii="Calibri" w:hAnsi="Calibri" w:cs="Calibri"/>
                <w:lang w:val="en-US"/>
              </w:rPr>
              <w:t>ზემოქმედება</w:t>
            </w:r>
            <w:proofErr w:type="spellEnd"/>
            <w:r w:rsidRPr="00A37C1D">
              <w:rPr>
                <w:rFonts w:ascii="Calibri" w:hAnsi="Calibri" w:cs="Calibri"/>
                <w:lang w:val="en-US"/>
              </w:rPr>
              <w:t xml:space="preserve">, </w:t>
            </w:r>
            <w:proofErr w:type="spellStart"/>
            <w:r w:rsidRPr="00A37C1D">
              <w:rPr>
                <w:rFonts w:ascii="Calibri" w:hAnsi="Calibri" w:cs="Calibri"/>
                <w:lang w:val="en-US"/>
              </w:rPr>
              <w:t>რომელიც</w:t>
            </w:r>
            <w:proofErr w:type="spellEnd"/>
            <w:r w:rsidRPr="00A37C1D">
              <w:rPr>
                <w:rFonts w:ascii="Calibri" w:hAnsi="Calibri" w:cs="Calibri"/>
                <w:lang w:val="en-US"/>
              </w:rPr>
              <w:t xml:space="preserve"> </w:t>
            </w:r>
            <w:proofErr w:type="spellStart"/>
            <w:r w:rsidRPr="00A37C1D">
              <w:rPr>
                <w:rFonts w:ascii="Calibri" w:hAnsi="Calibri" w:cs="Calibri"/>
                <w:lang w:val="en-US"/>
              </w:rPr>
              <w:t>განხილული</w:t>
            </w:r>
            <w:proofErr w:type="spellEnd"/>
            <w:r w:rsidRPr="00A37C1D">
              <w:rPr>
                <w:rFonts w:ascii="Calibri" w:hAnsi="Calibri" w:cs="Calibri"/>
                <w:lang w:val="en-US"/>
              </w:rPr>
              <w:t xml:space="preserve"> უნდა </w:t>
            </w:r>
            <w:proofErr w:type="spellStart"/>
            <w:r w:rsidRPr="00A37C1D">
              <w:rPr>
                <w:rFonts w:ascii="Calibri" w:hAnsi="Calibri" w:cs="Calibri"/>
                <w:lang w:val="en-US"/>
              </w:rPr>
              <w:t>ყოფილიყო</w:t>
            </w:r>
            <w:proofErr w:type="spellEnd"/>
            <w:r w:rsidRPr="00A37C1D">
              <w:rPr>
                <w:rFonts w:ascii="Calibri" w:hAnsi="Calibri" w:cs="Calibri"/>
                <w:lang w:val="en-US"/>
              </w:rPr>
              <w:t xml:space="preserve"> სგშ-ს </w:t>
            </w:r>
            <w:proofErr w:type="spellStart"/>
            <w:r w:rsidRPr="00A37C1D">
              <w:rPr>
                <w:rFonts w:ascii="Calibri" w:hAnsi="Calibri" w:cs="Calibri"/>
                <w:lang w:val="en-US"/>
              </w:rPr>
              <w:t>პროცესში</w:t>
            </w:r>
            <w:proofErr w:type="spellEnd"/>
            <w:r w:rsidRPr="00A37C1D">
              <w:rPr>
                <w:rFonts w:ascii="Calibri" w:hAnsi="Calibri" w:cs="Calibri"/>
                <w:lang w:val="en-US"/>
              </w:rPr>
              <w:t xml:space="preserve">). </w:t>
            </w:r>
            <w:proofErr w:type="gramStart"/>
            <w:r w:rsidRPr="00A37C1D">
              <w:rPr>
                <w:rFonts w:ascii="Calibri" w:hAnsi="Calibri" w:cs="Calibri"/>
                <w:lang w:val="en-US"/>
              </w:rPr>
              <w:t>კერძოდ</w:t>
            </w:r>
            <w:proofErr w:type="gramEnd"/>
            <w:r w:rsidR="00727488" w:rsidRPr="00A37C1D">
              <w:rPr>
                <w:rFonts w:ascii="Calibri" w:hAnsi="Calibri" w:cs="Calibri"/>
                <w:lang w:val="en-US"/>
              </w:rPr>
              <w:t>,</w:t>
            </w:r>
            <w:r w:rsidRPr="00A37C1D">
              <w:rPr>
                <w:rFonts w:ascii="Calibri" w:hAnsi="Calibri" w:cs="Calibri"/>
                <w:lang w:val="en-US"/>
              </w:rPr>
              <w:t xml:space="preserve"> </w:t>
            </w:r>
            <w:proofErr w:type="spellStart"/>
            <w:r w:rsidRPr="00A37C1D">
              <w:rPr>
                <w:rFonts w:ascii="Calibri" w:hAnsi="Calibri" w:cs="Calibri"/>
                <w:lang w:val="en-US"/>
              </w:rPr>
              <w:t>აღნიშნულ</w:t>
            </w:r>
            <w:proofErr w:type="spellEnd"/>
            <w:r w:rsidRPr="00A37C1D">
              <w:rPr>
                <w:rFonts w:ascii="Calibri" w:hAnsi="Calibri" w:cs="Calibri"/>
                <w:lang w:val="en-US"/>
              </w:rPr>
              <w:t xml:space="preserve"> </w:t>
            </w:r>
            <w:proofErr w:type="spellStart"/>
            <w:r w:rsidRPr="00A37C1D">
              <w:rPr>
                <w:rFonts w:ascii="Calibri" w:hAnsi="Calibri" w:cs="Calibri"/>
                <w:lang w:val="en-US"/>
              </w:rPr>
              <w:t>თავში</w:t>
            </w:r>
            <w:proofErr w:type="spellEnd"/>
            <w:r w:rsidRPr="00A37C1D">
              <w:rPr>
                <w:rFonts w:ascii="Calibri" w:hAnsi="Calibri" w:cs="Calibri"/>
                <w:lang w:val="en-US"/>
              </w:rPr>
              <w:t xml:space="preserve"> </w:t>
            </w:r>
            <w:proofErr w:type="spellStart"/>
            <w:r w:rsidRPr="00A37C1D">
              <w:rPr>
                <w:rFonts w:ascii="Calibri" w:hAnsi="Calibri" w:cs="Calibri"/>
                <w:lang w:val="en-US"/>
              </w:rPr>
              <w:t>აღწერილია</w:t>
            </w:r>
            <w:proofErr w:type="spellEnd"/>
            <w:r w:rsidRPr="00A37C1D">
              <w:rPr>
                <w:rFonts w:ascii="Calibri" w:hAnsi="Calibri" w:cs="Calibri"/>
                <w:lang w:val="en-US"/>
              </w:rPr>
              <w:t xml:space="preserve"> </w:t>
            </w:r>
            <w:proofErr w:type="spellStart"/>
            <w:r w:rsidRPr="00A37C1D">
              <w:rPr>
                <w:rFonts w:ascii="Calibri" w:hAnsi="Calibri" w:cs="Calibri"/>
                <w:lang w:val="en-US"/>
              </w:rPr>
              <w:t>როგორც</w:t>
            </w:r>
            <w:proofErr w:type="spellEnd"/>
            <w:r w:rsidRPr="00A37C1D">
              <w:rPr>
                <w:rFonts w:ascii="Calibri" w:hAnsi="Calibri" w:cs="Calibri"/>
                <w:lang w:val="en-US"/>
              </w:rPr>
              <w:t xml:space="preserve"> </w:t>
            </w:r>
            <w:proofErr w:type="spellStart"/>
            <w:r w:rsidRPr="00A37C1D">
              <w:rPr>
                <w:rFonts w:ascii="Calibri" w:hAnsi="Calibri" w:cs="Calibri"/>
                <w:lang w:val="en-US"/>
              </w:rPr>
              <w:t>მშენებლობის</w:t>
            </w:r>
            <w:proofErr w:type="spellEnd"/>
            <w:r w:rsidRPr="00A37C1D">
              <w:rPr>
                <w:rFonts w:ascii="Calibri" w:hAnsi="Calibri" w:cs="Calibri"/>
                <w:lang w:val="en-US"/>
              </w:rPr>
              <w:t xml:space="preserve"> </w:t>
            </w:r>
            <w:proofErr w:type="spellStart"/>
            <w:r w:rsidRPr="00A37C1D">
              <w:rPr>
                <w:rFonts w:ascii="Calibri" w:hAnsi="Calibri" w:cs="Calibri"/>
                <w:lang w:val="en-US"/>
              </w:rPr>
              <w:t>პროცესში</w:t>
            </w:r>
            <w:proofErr w:type="spellEnd"/>
            <w:r w:rsidRPr="00A37C1D">
              <w:rPr>
                <w:rFonts w:ascii="Calibri" w:hAnsi="Calibri" w:cs="Calibri"/>
                <w:lang w:val="en-US"/>
              </w:rPr>
              <w:t xml:space="preserve"> </w:t>
            </w:r>
            <w:proofErr w:type="spellStart"/>
            <w:r w:rsidRPr="00A37C1D">
              <w:rPr>
                <w:rFonts w:ascii="Calibri" w:hAnsi="Calibri" w:cs="Calibri"/>
                <w:lang w:val="en-US"/>
              </w:rPr>
              <w:t>მოსალოდნელი</w:t>
            </w:r>
            <w:proofErr w:type="spellEnd"/>
            <w:r w:rsidRPr="00A37C1D">
              <w:rPr>
                <w:rFonts w:ascii="Calibri" w:hAnsi="Calibri" w:cs="Calibri"/>
                <w:lang w:val="en-US"/>
              </w:rPr>
              <w:t xml:space="preserve"> </w:t>
            </w:r>
            <w:proofErr w:type="spellStart"/>
            <w:r w:rsidRPr="00A37C1D">
              <w:rPr>
                <w:rFonts w:ascii="Calibri" w:hAnsi="Calibri" w:cs="Calibri"/>
                <w:lang w:val="en-US"/>
              </w:rPr>
              <w:t>მოკლევადიანი</w:t>
            </w:r>
            <w:proofErr w:type="spellEnd"/>
            <w:r w:rsidRPr="00A37C1D">
              <w:rPr>
                <w:rFonts w:ascii="Calibri" w:hAnsi="Calibri" w:cs="Calibri"/>
                <w:lang w:val="en-US"/>
              </w:rPr>
              <w:t xml:space="preserve"> </w:t>
            </w:r>
            <w:proofErr w:type="spellStart"/>
            <w:r w:rsidRPr="00A37C1D">
              <w:rPr>
                <w:rFonts w:ascii="Calibri" w:hAnsi="Calibri" w:cs="Calibri"/>
                <w:lang w:val="en-US"/>
              </w:rPr>
              <w:t>ზემოქმედებები</w:t>
            </w:r>
            <w:proofErr w:type="spellEnd"/>
            <w:r w:rsidR="00727488" w:rsidRPr="00A37C1D">
              <w:rPr>
                <w:rFonts w:ascii="Calibri" w:hAnsi="Calibri" w:cs="Calibri"/>
                <w:lang w:val="en-US"/>
              </w:rPr>
              <w:t>,</w:t>
            </w:r>
            <w:r w:rsidRPr="00A37C1D">
              <w:rPr>
                <w:rFonts w:ascii="Calibri" w:hAnsi="Calibri" w:cs="Calibri"/>
                <w:lang w:val="en-US"/>
              </w:rPr>
              <w:t xml:space="preserve"> </w:t>
            </w:r>
            <w:proofErr w:type="spellStart"/>
            <w:r w:rsidRPr="00A37C1D">
              <w:rPr>
                <w:rFonts w:ascii="Calibri" w:hAnsi="Calibri" w:cs="Calibri"/>
                <w:lang w:val="en-US"/>
              </w:rPr>
              <w:t>ისე</w:t>
            </w:r>
            <w:proofErr w:type="spellEnd"/>
            <w:r w:rsidRPr="00A37C1D">
              <w:rPr>
                <w:rFonts w:ascii="Calibri" w:hAnsi="Calibri" w:cs="Calibri"/>
                <w:lang w:val="en-US"/>
              </w:rPr>
              <w:t xml:space="preserve"> </w:t>
            </w:r>
            <w:proofErr w:type="spellStart"/>
            <w:r w:rsidRPr="00A37C1D">
              <w:rPr>
                <w:rFonts w:ascii="Calibri" w:hAnsi="Calibri" w:cs="Calibri"/>
                <w:lang w:val="en-US"/>
              </w:rPr>
              <w:t>ოპერირებით</w:t>
            </w:r>
            <w:proofErr w:type="spellEnd"/>
            <w:r w:rsidRPr="00A37C1D">
              <w:rPr>
                <w:rFonts w:ascii="Calibri" w:hAnsi="Calibri" w:cs="Calibri"/>
                <w:lang w:val="en-US"/>
              </w:rPr>
              <w:t xml:space="preserve"> </w:t>
            </w:r>
            <w:proofErr w:type="spellStart"/>
            <w:r w:rsidRPr="00A37C1D">
              <w:rPr>
                <w:rFonts w:ascii="Calibri" w:hAnsi="Calibri" w:cs="Calibri"/>
                <w:lang w:val="en-US"/>
              </w:rPr>
              <w:t>გამოწვეული</w:t>
            </w:r>
            <w:proofErr w:type="spellEnd"/>
            <w:r w:rsidRPr="00A37C1D">
              <w:rPr>
                <w:rFonts w:ascii="Calibri" w:hAnsi="Calibri" w:cs="Calibri"/>
                <w:lang w:val="en-US"/>
              </w:rPr>
              <w:t xml:space="preserve"> </w:t>
            </w:r>
            <w:proofErr w:type="spellStart"/>
            <w:r w:rsidRPr="00A37C1D">
              <w:rPr>
                <w:rFonts w:ascii="Calibri" w:hAnsi="Calibri" w:cs="Calibri"/>
                <w:lang w:val="en-US"/>
              </w:rPr>
              <w:t>ზემოქმედებები</w:t>
            </w:r>
            <w:proofErr w:type="spellEnd"/>
            <w:r w:rsidRPr="00A37C1D">
              <w:rPr>
                <w:rFonts w:ascii="Calibri" w:hAnsi="Calibri" w:cs="Calibri"/>
                <w:lang w:val="en-US"/>
              </w:rPr>
              <w:t xml:space="preserve">. </w:t>
            </w:r>
            <w:proofErr w:type="spellStart"/>
            <w:proofErr w:type="gramStart"/>
            <w:r w:rsidRPr="00A37C1D">
              <w:rPr>
                <w:rFonts w:ascii="Calibri" w:hAnsi="Calibri" w:cs="Calibri"/>
                <w:lang w:val="en-US"/>
              </w:rPr>
              <w:t>ნაგავსაყრელების</w:t>
            </w:r>
            <w:proofErr w:type="spellEnd"/>
            <w:proofErr w:type="gramEnd"/>
            <w:r w:rsidRPr="00A37C1D">
              <w:rPr>
                <w:rFonts w:ascii="Calibri" w:hAnsi="Calibri" w:cs="Calibri"/>
                <w:lang w:val="en-US"/>
              </w:rPr>
              <w:t xml:space="preserve"> </w:t>
            </w:r>
            <w:proofErr w:type="spellStart"/>
            <w:r w:rsidRPr="00A37C1D">
              <w:rPr>
                <w:rFonts w:ascii="Calibri" w:hAnsi="Calibri" w:cs="Calibri"/>
                <w:lang w:val="en-US"/>
              </w:rPr>
              <w:t>შემთხვევაში</w:t>
            </w:r>
            <w:proofErr w:type="spellEnd"/>
            <w:r w:rsidRPr="00A37C1D">
              <w:rPr>
                <w:rFonts w:ascii="Calibri" w:hAnsi="Calibri" w:cs="Calibri"/>
                <w:lang w:val="en-US"/>
              </w:rPr>
              <w:t xml:space="preserve"> </w:t>
            </w:r>
            <w:proofErr w:type="spellStart"/>
            <w:r w:rsidRPr="00A37C1D">
              <w:rPr>
                <w:rFonts w:ascii="Calibri" w:hAnsi="Calibri" w:cs="Calibri"/>
                <w:lang w:val="en-US"/>
              </w:rPr>
              <w:t>ნახსენებია</w:t>
            </w:r>
            <w:proofErr w:type="spellEnd"/>
            <w:r w:rsidRPr="00A37C1D">
              <w:rPr>
                <w:rFonts w:ascii="Calibri" w:hAnsi="Calibri" w:cs="Calibri"/>
                <w:lang w:val="en-US"/>
              </w:rPr>
              <w:t xml:space="preserve"> </w:t>
            </w:r>
            <w:proofErr w:type="spellStart"/>
            <w:r w:rsidRPr="00A37C1D">
              <w:rPr>
                <w:rFonts w:ascii="Calibri" w:hAnsi="Calibri" w:cs="Calibri"/>
                <w:lang w:val="en-US"/>
              </w:rPr>
              <w:t>აირების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წვით</w:t>
            </w:r>
            <w:proofErr w:type="spellEnd"/>
            <w:r w:rsidRPr="00A37C1D">
              <w:rPr>
                <w:rFonts w:ascii="Calibri" w:hAnsi="Calibri" w:cs="Calibri"/>
                <w:lang w:val="en-US"/>
              </w:rPr>
              <w:t xml:space="preserve"> </w:t>
            </w:r>
            <w:proofErr w:type="spellStart"/>
            <w:r w:rsidRPr="00A37C1D">
              <w:rPr>
                <w:rFonts w:ascii="Calibri" w:hAnsi="Calibri" w:cs="Calibri"/>
                <w:lang w:val="en-US"/>
              </w:rPr>
              <w:t>გამოწვეული</w:t>
            </w:r>
            <w:proofErr w:type="spellEnd"/>
            <w:r w:rsidRPr="00A37C1D">
              <w:rPr>
                <w:rFonts w:ascii="Calibri" w:hAnsi="Calibri" w:cs="Calibri"/>
                <w:lang w:val="en-US"/>
              </w:rPr>
              <w:t xml:space="preserve"> </w:t>
            </w:r>
            <w:proofErr w:type="spellStart"/>
            <w:r w:rsidRPr="00A37C1D">
              <w:rPr>
                <w:rFonts w:ascii="Calibri" w:hAnsi="Calibri" w:cs="Calibri"/>
                <w:lang w:val="en-US"/>
              </w:rPr>
              <w:t>ზემოქმედებაც</w:t>
            </w:r>
            <w:proofErr w:type="spellEnd"/>
            <w:r w:rsidRPr="00A37C1D">
              <w:rPr>
                <w:rFonts w:ascii="Calibri" w:hAnsi="Calibri" w:cs="Calibri"/>
                <w:lang w:val="en-US"/>
              </w:rPr>
              <w:t xml:space="preserve">, </w:t>
            </w:r>
            <w:proofErr w:type="spellStart"/>
            <w:r w:rsidRPr="00A37C1D">
              <w:rPr>
                <w:rFonts w:ascii="Calibri" w:hAnsi="Calibri" w:cs="Calibri"/>
                <w:lang w:val="en-US"/>
              </w:rPr>
              <w:t>თუმცა</w:t>
            </w:r>
            <w:proofErr w:type="spellEnd"/>
            <w:r w:rsidRPr="00A37C1D">
              <w:rPr>
                <w:rFonts w:ascii="Calibri" w:hAnsi="Calibri" w:cs="Calibri"/>
                <w:lang w:val="en-US"/>
              </w:rPr>
              <w:t xml:space="preserve"> </w:t>
            </w:r>
            <w:proofErr w:type="spellStart"/>
            <w:r w:rsidR="00727488" w:rsidRPr="00A37C1D">
              <w:rPr>
                <w:rFonts w:ascii="Calibri" w:hAnsi="Calibri" w:cs="Calibri"/>
                <w:lang w:val="en-US"/>
              </w:rPr>
              <w:t>ეს</w:t>
            </w:r>
            <w:proofErr w:type="spellEnd"/>
            <w:r w:rsidR="00727488" w:rsidRPr="00A37C1D">
              <w:rPr>
                <w:rFonts w:ascii="Calibri" w:hAnsi="Calibri" w:cs="Calibri"/>
                <w:lang w:val="en-US"/>
              </w:rPr>
              <w:t xml:space="preserve"> </w:t>
            </w:r>
            <w:proofErr w:type="spellStart"/>
            <w:r w:rsidRPr="00A37C1D">
              <w:rPr>
                <w:rFonts w:ascii="Calibri" w:hAnsi="Calibri" w:cs="Calibri"/>
                <w:lang w:val="en-US"/>
              </w:rPr>
              <w:t>შეფასებულია</w:t>
            </w:r>
            <w:proofErr w:type="spellEnd"/>
            <w:r w:rsidRPr="00A37C1D">
              <w:rPr>
                <w:rFonts w:ascii="Calibri" w:hAnsi="Calibri" w:cs="Calibri"/>
                <w:lang w:val="en-US"/>
              </w:rPr>
              <w:t xml:space="preserve"> </w:t>
            </w:r>
            <w:proofErr w:type="spellStart"/>
            <w:r w:rsidRPr="00A37C1D">
              <w:rPr>
                <w:rFonts w:ascii="Calibri" w:hAnsi="Calibri" w:cs="Calibri"/>
                <w:lang w:val="en-US"/>
              </w:rPr>
              <w:t>როგორც</w:t>
            </w:r>
            <w:proofErr w:type="spellEnd"/>
            <w:r w:rsidRPr="00A37C1D">
              <w:rPr>
                <w:rFonts w:ascii="Calibri" w:hAnsi="Calibri" w:cs="Calibri"/>
                <w:lang w:val="en-US"/>
              </w:rPr>
              <w:t xml:space="preserve"> </w:t>
            </w:r>
            <w:proofErr w:type="spellStart"/>
            <w:r w:rsidRPr="00A37C1D">
              <w:rPr>
                <w:rFonts w:ascii="Calibri" w:hAnsi="Calibri" w:cs="Calibri"/>
                <w:lang w:val="en-US"/>
              </w:rPr>
              <w:t>ნაკლებად</w:t>
            </w:r>
            <w:proofErr w:type="spellEnd"/>
            <w:r w:rsidRPr="00A37C1D">
              <w:rPr>
                <w:rFonts w:ascii="Calibri" w:hAnsi="Calibri" w:cs="Calibri"/>
                <w:lang w:val="en-US"/>
              </w:rPr>
              <w:t xml:space="preserve"> </w:t>
            </w:r>
            <w:proofErr w:type="spellStart"/>
            <w:r w:rsidRPr="00A37C1D">
              <w:rPr>
                <w:rFonts w:ascii="Calibri" w:hAnsi="Calibri" w:cs="Calibri"/>
                <w:lang w:val="en-US"/>
              </w:rPr>
              <w:t>მნიშვნელოვანი</w:t>
            </w:r>
            <w:proofErr w:type="spellEnd"/>
            <w:r w:rsidR="00727488" w:rsidRPr="00A37C1D">
              <w:rPr>
                <w:rFonts w:ascii="Calibri" w:hAnsi="Calibri" w:cs="Calibri"/>
                <w:lang w:val="en-US"/>
              </w:rPr>
              <w:t>;</w:t>
            </w:r>
            <w:r w:rsidRPr="00A37C1D">
              <w:rPr>
                <w:rFonts w:ascii="Calibri" w:hAnsi="Calibri" w:cs="Calibri"/>
                <w:lang w:val="en-US"/>
              </w:rPr>
              <w:t xml:space="preserve"> </w:t>
            </w:r>
            <w:proofErr w:type="spellStart"/>
            <w:r w:rsidRPr="00A37C1D">
              <w:rPr>
                <w:rFonts w:ascii="Calibri" w:hAnsi="Calibri" w:cs="Calibri"/>
                <w:lang w:val="en-US"/>
              </w:rPr>
              <w:t>ხოლო</w:t>
            </w:r>
            <w:proofErr w:type="spellEnd"/>
            <w:r w:rsidRPr="00A37C1D">
              <w:rPr>
                <w:rFonts w:ascii="Calibri" w:hAnsi="Calibri" w:cs="Calibri"/>
                <w:lang w:val="en-US"/>
              </w:rPr>
              <w:t xml:space="preserve"> </w:t>
            </w:r>
            <w:proofErr w:type="spellStart"/>
            <w:r w:rsidRPr="00A37C1D">
              <w:rPr>
                <w:rFonts w:ascii="Calibri" w:hAnsi="Calibri" w:cs="Calibri"/>
                <w:lang w:val="en-US"/>
              </w:rPr>
              <w:t>ჩამდინარე</w:t>
            </w:r>
            <w:proofErr w:type="spellEnd"/>
            <w:r w:rsidRPr="00A37C1D">
              <w:rPr>
                <w:rFonts w:ascii="Calibri" w:hAnsi="Calibri" w:cs="Calibri"/>
                <w:lang w:val="en-US"/>
              </w:rPr>
              <w:t xml:space="preserve"> </w:t>
            </w:r>
            <w:proofErr w:type="spellStart"/>
            <w:r w:rsidRPr="00A37C1D">
              <w:rPr>
                <w:rFonts w:ascii="Calibri" w:hAnsi="Calibri" w:cs="Calibri"/>
                <w:lang w:val="en-US"/>
              </w:rPr>
              <w:t>წყლების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ნაგებობების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შემთხვევაში</w:t>
            </w:r>
            <w:proofErr w:type="spellEnd"/>
            <w:r w:rsidRPr="00A37C1D">
              <w:rPr>
                <w:rFonts w:ascii="Calibri" w:hAnsi="Calibri" w:cs="Calibri"/>
                <w:lang w:val="en-US"/>
              </w:rPr>
              <w:t xml:space="preserve">, </w:t>
            </w:r>
            <w:proofErr w:type="spellStart"/>
            <w:r w:rsidRPr="00A37C1D">
              <w:rPr>
                <w:rFonts w:ascii="Calibri" w:hAnsi="Calibri" w:cs="Calibri"/>
                <w:lang w:val="en-US"/>
              </w:rPr>
              <w:t>გამოყოფილია</w:t>
            </w:r>
            <w:proofErr w:type="spellEnd"/>
            <w:r w:rsidRPr="00A37C1D">
              <w:rPr>
                <w:rFonts w:ascii="Calibri" w:hAnsi="Calibri" w:cs="Calibri"/>
                <w:lang w:val="en-US"/>
              </w:rPr>
              <w:t xml:space="preserve"> </w:t>
            </w:r>
            <w:proofErr w:type="spellStart"/>
            <w:r w:rsidRPr="00A37C1D">
              <w:rPr>
                <w:rFonts w:ascii="Calibri" w:hAnsi="Calibri" w:cs="Calibri"/>
                <w:lang w:val="en-US"/>
              </w:rPr>
              <w:t>გოგირწყალბადით</w:t>
            </w:r>
            <w:proofErr w:type="spellEnd"/>
            <w:r w:rsidRPr="00A37C1D">
              <w:rPr>
                <w:rFonts w:ascii="Calibri" w:hAnsi="Calibri" w:cs="Calibri"/>
                <w:lang w:val="en-US"/>
              </w:rPr>
              <w:t xml:space="preserve"> </w:t>
            </w:r>
            <w:proofErr w:type="spellStart"/>
            <w:r w:rsidRPr="00A37C1D">
              <w:rPr>
                <w:rFonts w:ascii="Calibri" w:hAnsi="Calibri" w:cs="Calibri"/>
                <w:lang w:val="en-US"/>
              </w:rPr>
              <w:t>გამოწვეული</w:t>
            </w:r>
            <w:proofErr w:type="spellEnd"/>
            <w:r w:rsidRPr="00A37C1D">
              <w:rPr>
                <w:rFonts w:ascii="Calibri" w:hAnsi="Calibri" w:cs="Calibri"/>
                <w:lang w:val="en-US"/>
              </w:rPr>
              <w:t xml:space="preserve"> </w:t>
            </w:r>
            <w:proofErr w:type="spellStart"/>
            <w:r w:rsidRPr="00A37C1D">
              <w:rPr>
                <w:rFonts w:ascii="Calibri" w:hAnsi="Calibri" w:cs="Calibri"/>
                <w:lang w:val="en-US"/>
              </w:rPr>
              <w:t>ზემოქმედება</w:t>
            </w:r>
            <w:proofErr w:type="spellEnd"/>
            <w:r w:rsidRPr="00A37C1D">
              <w:rPr>
                <w:rFonts w:ascii="Calibri" w:hAnsi="Calibri" w:cs="Calibri"/>
                <w:lang w:val="en-US"/>
              </w:rPr>
              <w:t xml:space="preserve">. აღნიშნული </w:t>
            </w:r>
            <w:proofErr w:type="spellStart"/>
            <w:r w:rsidRPr="00A37C1D">
              <w:rPr>
                <w:rFonts w:ascii="Calibri" w:hAnsi="Calibri" w:cs="Calibri"/>
                <w:lang w:val="en-US"/>
              </w:rPr>
              <w:t>ზემოქმედებები</w:t>
            </w:r>
            <w:proofErr w:type="spellEnd"/>
            <w:r w:rsidRPr="00A37C1D">
              <w:rPr>
                <w:rFonts w:ascii="Calibri" w:hAnsi="Calibri" w:cs="Calibri"/>
                <w:lang w:val="en-US"/>
              </w:rPr>
              <w:t xml:space="preserve"> </w:t>
            </w:r>
            <w:proofErr w:type="spellStart"/>
            <w:r w:rsidRPr="00A37C1D">
              <w:rPr>
                <w:rFonts w:ascii="Calibri" w:hAnsi="Calibri" w:cs="Calibri"/>
                <w:lang w:val="en-US"/>
              </w:rPr>
              <w:t>ასახულია</w:t>
            </w:r>
            <w:proofErr w:type="spellEnd"/>
            <w:r w:rsidRPr="00A37C1D">
              <w:rPr>
                <w:rFonts w:ascii="Calibri" w:hAnsi="Calibri" w:cs="Calibri"/>
                <w:lang w:val="en-US"/>
              </w:rPr>
              <w:t xml:space="preserve"> ასევე </w:t>
            </w:r>
            <w:proofErr w:type="spellStart"/>
            <w:r w:rsidRPr="00A37C1D">
              <w:rPr>
                <w:rFonts w:ascii="Calibri" w:hAnsi="Calibri" w:cs="Calibri"/>
                <w:lang w:val="en-US"/>
              </w:rPr>
              <w:t>დანართში</w:t>
            </w:r>
            <w:proofErr w:type="spellEnd"/>
            <w:r w:rsidRPr="00A37C1D">
              <w:rPr>
                <w:rFonts w:ascii="Calibri" w:hAnsi="Calibri" w:cs="Calibri"/>
                <w:lang w:val="en-US"/>
              </w:rPr>
              <w:t xml:space="preserve"> ‘გ' - </w:t>
            </w:r>
            <w:proofErr w:type="spellStart"/>
            <w:r w:rsidRPr="00A37C1D">
              <w:rPr>
                <w:rFonts w:ascii="Calibri" w:hAnsi="Calibri" w:cs="Calibri"/>
                <w:lang w:val="en-US"/>
              </w:rPr>
              <w:t>შემაჯამებელი</w:t>
            </w:r>
            <w:proofErr w:type="spellEnd"/>
            <w:r w:rsidRPr="00A37C1D">
              <w:rPr>
                <w:rFonts w:ascii="Calibri" w:hAnsi="Calibri" w:cs="Calibri"/>
                <w:lang w:val="en-US"/>
              </w:rPr>
              <w:t xml:space="preserve"> </w:t>
            </w:r>
            <w:proofErr w:type="spellStart"/>
            <w:r w:rsidRPr="00A37C1D">
              <w:rPr>
                <w:rFonts w:ascii="Calibri" w:hAnsi="Calibri" w:cs="Calibri"/>
                <w:lang w:val="en-US"/>
              </w:rPr>
              <w:t>ცხრილი</w:t>
            </w:r>
            <w:proofErr w:type="spellEnd"/>
            <w:r w:rsidRPr="00A37C1D">
              <w:rPr>
                <w:rFonts w:ascii="Calibri" w:hAnsi="Calibri" w:cs="Calibri"/>
                <w:lang w:val="en-US"/>
              </w:rPr>
              <w:t xml:space="preserve">. </w:t>
            </w:r>
            <w:proofErr w:type="spellStart"/>
            <w:r w:rsidRPr="00A37C1D">
              <w:rPr>
                <w:rFonts w:ascii="Calibri" w:hAnsi="Calibri" w:cs="Calibri"/>
                <w:lang w:val="en-US"/>
              </w:rPr>
              <w:t>აქვე</w:t>
            </w:r>
            <w:proofErr w:type="spellEnd"/>
            <w:r w:rsidRPr="00A37C1D">
              <w:rPr>
                <w:rFonts w:ascii="Calibri" w:hAnsi="Calibri" w:cs="Calibri"/>
                <w:lang w:val="en-US"/>
              </w:rPr>
              <w:t xml:space="preserve"> </w:t>
            </w:r>
            <w:proofErr w:type="spellStart"/>
            <w:r w:rsidRPr="00A37C1D">
              <w:rPr>
                <w:rFonts w:ascii="Calibri" w:hAnsi="Calibri" w:cs="Calibri"/>
                <w:lang w:val="en-US"/>
              </w:rPr>
              <w:t>შემოთავაზებულია</w:t>
            </w:r>
            <w:proofErr w:type="spellEnd"/>
            <w:r w:rsidRPr="00A37C1D">
              <w:rPr>
                <w:rFonts w:ascii="Calibri" w:hAnsi="Calibri" w:cs="Calibri"/>
                <w:lang w:val="en-US"/>
              </w:rPr>
              <w:t xml:space="preserve"> </w:t>
            </w:r>
            <w:proofErr w:type="spellStart"/>
            <w:r w:rsidRPr="00A37C1D">
              <w:rPr>
                <w:rFonts w:ascii="Calibri" w:hAnsi="Calibri" w:cs="Calibri"/>
                <w:lang w:val="en-US"/>
              </w:rPr>
              <w:t>პრევენციის</w:t>
            </w:r>
            <w:proofErr w:type="spellEnd"/>
            <w:r w:rsidRPr="00A37C1D">
              <w:rPr>
                <w:rFonts w:ascii="Calibri" w:hAnsi="Calibri" w:cs="Calibri"/>
                <w:lang w:val="en-US"/>
              </w:rPr>
              <w:t xml:space="preserve"> და </w:t>
            </w:r>
            <w:proofErr w:type="spellStart"/>
            <w:r w:rsidRPr="00A37C1D">
              <w:rPr>
                <w:rFonts w:ascii="Calibri" w:hAnsi="Calibri" w:cs="Calibri"/>
                <w:lang w:val="en-US"/>
              </w:rPr>
              <w:t>ზემოქმედების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შემცირების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ღონისძიებები</w:t>
            </w:r>
            <w:proofErr w:type="spellEnd"/>
            <w:r w:rsidRPr="00A37C1D">
              <w:rPr>
                <w:rFonts w:ascii="Calibri" w:hAnsi="Calibri" w:cs="Calibri"/>
                <w:lang w:val="en-US"/>
              </w:rPr>
              <w:t xml:space="preserve">. </w:t>
            </w:r>
          </w:p>
        </w:tc>
      </w:tr>
      <w:tr w:rsidR="00013E96" w:rsidRPr="00A37C1D" w14:paraId="4999EBFB" w14:textId="77777777" w:rsidTr="00013E96">
        <w:tc>
          <w:tcPr>
            <w:tcW w:w="562" w:type="dxa"/>
          </w:tcPr>
          <w:p w14:paraId="093673ED" w14:textId="77777777" w:rsidR="00013E96" w:rsidRPr="00A37C1D" w:rsidRDefault="00013E96" w:rsidP="00013E96">
            <w:pPr>
              <w:pStyle w:val="ListParagraph"/>
              <w:numPr>
                <w:ilvl w:val="0"/>
                <w:numId w:val="7"/>
              </w:numPr>
              <w:rPr>
                <w:rFonts w:ascii="Calibri" w:hAnsi="Calibri" w:cs="Calibri"/>
              </w:rPr>
            </w:pPr>
          </w:p>
        </w:tc>
        <w:tc>
          <w:tcPr>
            <w:tcW w:w="5528" w:type="dxa"/>
          </w:tcPr>
          <w:p w14:paraId="0909FF7A" w14:textId="4F058028" w:rsidR="00013E96" w:rsidRPr="00A37C1D" w:rsidRDefault="00013E96" w:rsidP="00013E96">
            <w:pPr>
              <w:pBdr>
                <w:top w:val="nil"/>
                <w:left w:val="nil"/>
                <w:bottom w:val="nil"/>
                <w:right w:val="nil"/>
                <w:between w:val="nil"/>
              </w:pBdr>
              <w:jc w:val="both"/>
              <w:rPr>
                <w:rFonts w:ascii="Calibri" w:hAnsi="Calibri" w:cs="Calibri"/>
              </w:rPr>
            </w:pPr>
            <w:r w:rsidRPr="00A37C1D">
              <w:rPr>
                <w:rFonts w:ascii="Calibri" w:hAnsi="Calibri" w:cs="Calibri"/>
              </w:rPr>
              <w:t xml:space="preserve">დაზუსტებას საჭიროებს სტრატეგიულ დოკუმენტსა და სგშ-ის ანგარიშში სამგორის სამხრეთ თაღთან გაზსაცავის მოწყობის საკითხი (ენერგეტიკისა და კლიმატის ეროვნული ინტეგრირებული გეგმის ღონისძიება ES-11), ვინაიდან, სგშ-ის ანგარიშის თანახმად, „ატმოსფერულ ჰაერზე მიწისქვეშა გაზსაცავის ზემოქმედება დამოკიდებულია სხვადასხვა ფაქტორზე, როგორიცაა მიწისქვეშა წარმონაქმნების სახე, ობიექტის ადგილმდებარეობა და მისი ოპერირების პრაქტიკა“. თუმცა არ არის </w:t>
            </w:r>
            <w:r w:rsidRPr="00A37C1D">
              <w:rPr>
                <w:rFonts w:ascii="Calibri" w:hAnsi="Calibri" w:cs="Calibri"/>
              </w:rPr>
              <w:lastRenderedPageBreak/>
              <w:t>განმარტებული თუ რა ეტაპზეა ამჟამად ეს ღონისძიება და განიხილება თუ არა მისი მოწყობის ალტერნატიული ადგილმდებარეობა;</w:t>
            </w:r>
          </w:p>
        </w:tc>
        <w:tc>
          <w:tcPr>
            <w:tcW w:w="8363" w:type="dxa"/>
          </w:tcPr>
          <w:p w14:paraId="46423824" w14:textId="159BA320" w:rsidR="00942E85" w:rsidRPr="00A37C1D" w:rsidRDefault="00942E85" w:rsidP="00942E85">
            <w:pPr>
              <w:jc w:val="both"/>
              <w:rPr>
                <w:rFonts w:ascii="Calibri" w:hAnsi="Calibri" w:cs="Calibri"/>
                <w:lang w:val="en-US"/>
              </w:rPr>
            </w:pPr>
            <w:proofErr w:type="spellStart"/>
            <w:proofErr w:type="gramStart"/>
            <w:r w:rsidRPr="00A37C1D">
              <w:rPr>
                <w:rFonts w:ascii="Calibri" w:hAnsi="Calibri" w:cs="Calibri"/>
                <w:lang w:val="en-US"/>
              </w:rPr>
              <w:lastRenderedPageBreak/>
              <w:t>სამგორის</w:t>
            </w:r>
            <w:proofErr w:type="spellEnd"/>
            <w:proofErr w:type="gramEnd"/>
            <w:r w:rsidRPr="00A37C1D">
              <w:rPr>
                <w:rFonts w:ascii="Calibri" w:hAnsi="Calibri" w:cs="Calibri"/>
                <w:lang w:val="en-US"/>
              </w:rPr>
              <w:t xml:space="preserve"> </w:t>
            </w:r>
            <w:proofErr w:type="spellStart"/>
            <w:r w:rsidRPr="00A37C1D">
              <w:rPr>
                <w:rFonts w:ascii="Calibri" w:hAnsi="Calibri" w:cs="Calibri"/>
                <w:lang w:val="en-US"/>
              </w:rPr>
              <w:t>სამხრეთ</w:t>
            </w:r>
            <w:proofErr w:type="spellEnd"/>
            <w:r w:rsidRPr="00A37C1D">
              <w:rPr>
                <w:rFonts w:ascii="Calibri" w:hAnsi="Calibri" w:cs="Calibri"/>
                <w:lang w:val="en-US"/>
              </w:rPr>
              <w:t xml:space="preserve"> </w:t>
            </w:r>
            <w:proofErr w:type="spellStart"/>
            <w:r w:rsidRPr="00A37C1D">
              <w:rPr>
                <w:rFonts w:ascii="Calibri" w:hAnsi="Calibri" w:cs="Calibri"/>
                <w:lang w:val="en-US"/>
              </w:rPr>
              <w:t>თაღის</w:t>
            </w:r>
            <w:proofErr w:type="spellEnd"/>
            <w:r w:rsidRPr="00A37C1D">
              <w:rPr>
                <w:rFonts w:ascii="Calibri" w:hAnsi="Calibri" w:cs="Calibri"/>
                <w:lang w:val="en-US"/>
              </w:rPr>
              <w:t xml:space="preserve"> </w:t>
            </w:r>
            <w:proofErr w:type="spellStart"/>
            <w:r w:rsidRPr="00A37C1D">
              <w:rPr>
                <w:rFonts w:ascii="Calibri" w:hAnsi="Calibri" w:cs="Calibri"/>
                <w:lang w:val="en-US"/>
              </w:rPr>
              <w:t>საბადოს</w:t>
            </w:r>
            <w:proofErr w:type="spellEnd"/>
            <w:r w:rsidRPr="00A37C1D">
              <w:rPr>
                <w:rFonts w:ascii="Calibri" w:hAnsi="Calibri" w:cs="Calibri"/>
                <w:lang w:val="en-US"/>
              </w:rPr>
              <w:t xml:space="preserve"> </w:t>
            </w:r>
            <w:proofErr w:type="spellStart"/>
            <w:r w:rsidRPr="00A37C1D">
              <w:rPr>
                <w:rFonts w:ascii="Calibri" w:hAnsi="Calibri" w:cs="Calibri"/>
                <w:lang w:val="en-US"/>
              </w:rPr>
              <w:t>ბაზაზე</w:t>
            </w:r>
            <w:proofErr w:type="spellEnd"/>
            <w:r w:rsidRPr="00A37C1D">
              <w:rPr>
                <w:rFonts w:ascii="Calibri" w:hAnsi="Calibri" w:cs="Calibri"/>
                <w:lang w:val="en-US"/>
              </w:rPr>
              <w:t xml:space="preserve"> გაზსაცავის  </w:t>
            </w:r>
            <w:proofErr w:type="spellStart"/>
            <w:r w:rsidRPr="00A37C1D">
              <w:rPr>
                <w:rFonts w:ascii="Calibri" w:hAnsi="Calibri" w:cs="Calibri"/>
                <w:lang w:val="en-US"/>
              </w:rPr>
              <w:t>თავდაპირველად</w:t>
            </w:r>
            <w:proofErr w:type="spellEnd"/>
            <w:r w:rsidRPr="00A37C1D">
              <w:rPr>
                <w:rFonts w:ascii="Calibri" w:hAnsi="Calibri" w:cs="Calibri"/>
                <w:lang w:val="en-US"/>
              </w:rPr>
              <w:t xml:space="preserve"> დაგეგმილი </w:t>
            </w:r>
            <w:proofErr w:type="spellStart"/>
            <w:r w:rsidRPr="00A37C1D">
              <w:rPr>
                <w:rFonts w:ascii="Calibri" w:hAnsi="Calibri" w:cs="Calibri"/>
                <w:lang w:val="en-US"/>
              </w:rPr>
              <w:t>პროექტის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განვითარება</w:t>
            </w:r>
            <w:proofErr w:type="spellEnd"/>
            <w:r w:rsidRPr="00A37C1D">
              <w:rPr>
                <w:rFonts w:ascii="Calibri" w:hAnsi="Calibri" w:cs="Calibri"/>
                <w:lang w:val="en-US"/>
              </w:rPr>
              <w:t xml:space="preserve"> ამჟამად </w:t>
            </w:r>
            <w:proofErr w:type="spellStart"/>
            <w:r w:rsidRPr="00A37C1D">
              <w:rPr>
                <w:rFonts w:ascii="Calibri" w:hAnsi="Calibri" w:cs="Calibri"/>
                <w:lang w:val="en-US"/>
              </w:rPr>
              <w:t>შეჩერებულია</w:t>
            </w:r>
            <w:proofErr w:type="spellEnd"/>
            <w:r w:rsidRPr="00A37C1D">
              <w:rPr>
                <w:rFonts w:ascii="Calibri" w:hAnsi="Calibri" w:cs="Calibri"/>
                <w:lang w:val="en-US"/>
              </w:rPr>
              <w:t xml:space="preserve">. </w:t>
            </w:r>
            <w:proofErr w:type="spellStart"/>
            <w:proofErr w:type="gramStart"/>
            <w:r w:rsidRPr="00A37C1D">
              <w:rPr>
                <w:rFonts w:ascii="Calibri" w:hAnsi="Calibri" w:cs="Calibri"/>
                <w:lang w:val="en-US"/>
              </w:rPr>
              <w:t>პროექტის</w:t>
            </w:r>
            <w:proofErr w:type="spellEnd"/>
            <w:proofErr w:type="gramEnd"/>
            <w:r w:rsidRPr="00A37C1D">
              <w:rPr>
                <w:rFonts w:ascii="Calibri" w:hAnsi="Calibri" w:cs="Calibri"/>
                <w:lang w:val="en-US"/>
              </w:rPr>
              <w:t xml:space="preserve"> </w:t>
            </w:r>
            <w:proofErr w:type="spellStart"/>
            <w:r w:rsidRPr="00A37C1D">
              <w:rPr>
                <w:rFonts w:ascii="Calibri" w:hAnsi="Calibri" w:cs="Calibri"/>
                <w:lang w:val="en-US"/>
              </w:rPr>
              <w:t>შეჩერების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მიზეზი</w:t>
            </w:r>
            <w:proofErr w:type="spellEnd"/>
            <w:r w:rsidRPr="00A37C1D">
              <w:rPr>
                <w:rFonts w:ascii="Calibri" w:hAnsi="Calibri" w:cs="Calibri"/>
                <w:lang w:val="en-US"/>
              </w:rPr>
              <w:t xml:space="preserve"> </w:t>
            </w:r>
            <w:proofErr w:type="spellStart"/>
            <w:r w:rsidRPr="00A37C1D">
              <w:rPr>
                <w:rFonts w:ascii="Calibri" w:hAnsi="Calibri" w:cs="Calibri"/>
                <w:lang w:val="en-US"/>
              </w:rPr>
              <w:t>გახდა</w:t>
            </w:r>
            <w:proofErr w:type="spellEnd"/>
            <w:r w:rsidRPr="00A37C1D">
              <w:rPr>
                <w:rFonts w:ascii="Calibri" w:hAnsi="Calibri" w:cs="Calibri"/>
                <w:lang w:val="en-US"/>
              </w:rPr>
              <w:t xml:space="preserve"> </w:t>
            </w:r>
            <w:proofErr w:type="spellStart"/>
            <w:r w:rsidRPr="00A37C1D">
              <w:rPr>
                <w:rFonts w:ascii="Calibri" w:hAnsi="Calibri" w:cs="Calibri"/>
                <w:lang w:val="en-US"/>
              </w:rPr>
              <w:t>არსებული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პროექტის</w:t>
            </w:r>
            <w:proofErr w:type="spellEnd"/>
            <w:r w:rsidRPr="00A37C1D">
              <w:rPr>
                <w:rFonts w:ascii="Calibri" w:hAnsi="Calibri" w:cs="Calibri"/>
                <w:lang w:val="en-US"/>
              </w:rPr>
              <w:t xml:space="preserve"> </w:t>
            </w:r>
            <w:proofErr w:type="spellStart"/>
            <w:r w:rsidRPr="00A37C1D">
              <w:rPr>
                <w:rFonts w:ascii="Calibri" w:hAnsi="Calibri" w:cs="Calibri"/>
                <w:lang w:val="en-US"/>
              </w:rPr>
              <w:t>მოდიფიკაციის</w:t>
            </w:r>
            <w:proofErr w:type="spellEnd"/>
            <w:r w:rsidRPr="00A37C1D">
              <w:rPr>
                <w:rFonts w:ascii="Calibri" w:hAnsi="Calibri" w:cs="Calibri"/>
                <w:lang w:val="en-US"/>
              </w:rPr>
              <w:t xml:space="preserve"> </w:t>
            </w:r>
            <w:proofErr w:type="spellStart"/>
            <w:r w:rsidRPr="00A37C1D">
              <w:rPr>
                <w:rFonts w:ascii="Calibri" w:hAnsi="Calibri" w:cs="Calibri"/>
                <w:lang w:val="en-US"/>
              </w:rPr>
              <w:t>ა</w:t>
            </w:r>
            <w:r w:rsidR="00727488" w:rsidRPr="00A37C1D">
              <w:rPr>
                <w:rFonts w:ascii="Calibri" w:hAnsi="Calibri" w:cs="Calibri"/>
                <w:lang w:val="en-US"/>
              </w:rPr>
              <w:t>უ</w:t>
            </w:r>
            <w:r w:rsidRPr="00A37C1D">
              <w:rPr>
                <w:rFonts w:ascii="Calibri" w:hAnsi="Calibri" w:cs="Calibri"/>
                <w:lang w:val="en-US"/>
              </w:rPr>
              <w:t>ცილებლობა</w:t>
            </w:r>
            <w:proofErr w:type="spellEnd"/>
            <w:r w:rsidRPr="00A37C1D">
              <w:rPr>
                <w:rFonts w:ascii="Calibri" w:hAnsi="Calibri" w:cs="Calibri"/>
                <w:lang w:val="en-US"/>
              </w:rPr>
              <w:t xml:space="preserve">, რაც </w:t>
            </w:r>
            <w:proofErr w:type="spellStart"/>
            <w:r w:rsidRPr="00A37C1D">
              <w:rPr>
                <w:rFonts w:ascii="Calibri" w:hAnsi="Calibri" w:cs="Calibri"/>
                <w:lang w:val="en-US"/>
              </w:rPr>
              <w:t>დაკავშირებულია</w:t>
            </w:r>
            <w:proofErr w:type="spellEnd"/>
            <w:r w:rsidRPr="00A37C1D">
              <w:rPr>
                <w:rFonts w:ascii="Calibri" w:hAnsi="Calibri" w:cs="Calibri"/>
                <w:lang w:val="en-US"/>
              </w:rPr>
              <w:t xml:space="preserve"> </w:t>
            </w:r>
            <w:proofErr w:type="spellStart"/>
            <w:r w:rsidRPr="00A37C1D">
              <w:rPr>
                <w:rFonts w:ascii="Calibri" w:hAnsi="Calibri" w:cs="Calibri"/>
                <w:lang w:val="en-US"/>
              </w:rPr>
              <w:t>ადრეულ</w:t>
            </w:r>
            <w:proofErr w:type="spellEnd"/>
            <w:r w:rsidRPr="00A37C1D">
              <w:rPr>
                <w:rFonts w:ascii="Calibri" w:hAnsi="Calibri" w:cs="Calibri"/>
                <w:lang w:val="en-US"/>
              </w:rPr>
              <w:t xml:space="preserve"> </w:t>
            </w:r>
            <w:proofErr w:type="spellStart"/>
            <w:r w:rsidRPr="00A37C1D">
              <w:rPr>
                <w:rFonts w:ascii="Calibri" w:hAnsi="Calibri" w:cs="Calibri"/>
                <w:lang w:val="en-US"/>
              </w:rPr>
              <w:t>ეტაპზე</w:t>
            </w:r>
            <w:proofErr w:type="spellEnd"/>
            <w:r w:rsidRPr="00A37C1D">
              <w:rPr>
                <w:rFonts w:ascii="Calibri" w:hAnsi="Calibri" w:cs="Calibri"/>
                <w:lang w:val="en-US"/>
              </w:rPr>
              <w:t xml:space="preserve"> </w:t>
            </w:r>
            <w:proofErr w:type="spellStart"/>
            <w:r w:rsidRPr="00A37C1D">
              <w:rPr>
                <w:rFonts w:ascii="Calibri" w:hAnsi="Calibri" w:cs="Calibri"/>
                <w:lang w:val="en-US"/>
              </w:rPr>
              <w:t>შერჩეული</w:t>
            </w:r>
            <w:proofErr w:type="spellEnd"/>
            <w:r w:rsidRPr="00A37C1D">
              <w:rPr>
                <w:rFonts w:ascii="Calibri" w:hAnsi="Calibri" w:cs="Calibri"/>
                <w:lang w:val="en-US"/>
              </w:rPr>
              <w:t xml:space="preserve"> </w:t>
            </w:r>
            <w:proofErr w:type="spellStart"/>
            <w:r w:rsidRPr="00A37C1D">
              <w:rPr>
                <w:rFonts w:ascii="Calibri" w:hAnsi="Calibri" w:cs="Calibri"/>
                <w:lang w:val="en-US"/>
              </w:rPr>
              <w:t>რეზერვუარის</w:t>
            </w:r>
            <w:proofErr w:type="spellEnd"/>
            <w:r w:rsidRPr="00A37C1D">
              <w:rPr>
                <w:rFonts w:ascii="Calibri" w:hAnsi="Calibri" w:cs="Calibri"/>
                <w:lang w:val="en-US"/>
              </w:rPr>
              <w:t xml:space="preserve"> </w:t>
            </w:r>
            <w:proofErr w:type="spellStart"/>
            <w:r w:rsidRPr="00A37C1D">
              <w:rPr>
                <w:rFonts w:ascii="Calibri" w:hAnsi="Calibri" w:cs="Calibri"/>
                <w:lang w:val="en-US"/>
              </w:rPr>
              <w:t>გეოლოგიურ</w:t>
            </w:r>
            <w:proofErr w:type="spellEnd"/>
            <w:r w:rsidRPr="00A37C1D">
              <w:rPr>
                <w:rFonts w:ascii="Calibri" w:hAnsi="Calibri" w:cs="Calibri"/>
                <w:lang w:val="en-US"/>
              </w:rPr>
              <w:t xml:space="preserve"> </w:t>
            </w:r>
            <w:proofErr w:type="spellStart"/>
            <w:r w:rsidRPr="00A37C1D">
              <w:rPr>
                <w:rFonts w:ascii="Calibri" w:hAnsi="Calibri" w:cs="Calibri"/>
                <w:lang w:val="en-US"/>
              </w:rPr>
              <w:t>სირთულესთან</w:t>
            </w:r>
            <w:proofErr w:type="spellEnd"/>
            <w:r w:rsidRPr="00A37C1D">
              <w:rPr>
                <w:rFonts w:ascii="Calibri" w:hAnsi="Calibri" w:cs="Calibri"/>
                <w:lang w:val="en-US"/>
              </w:rPr>
              <w:t xml:space="preserve"> (</w:t>
            </w:r>
            <w:proofErr w:type="spellStart"/>
            <w:r w:rsidRPr="00A37C1D">
              <w:rPr>
                <w:rFonts w:ascii="Calibri" w:hAnsi="Calibri" w:cs="Calibri"/>
                <w:lang w:val="en-US"/>
              </w:rPr>
              <w:t>სავარაუდო</w:t>
            </w:r>
            <w:proofErr w:type="spellEnd"/>
            <w:r w:rsidRPr="00A37C1D">
              <w:rPr>
                <w:rFonts w:ascii="Calibri" w:hAnsi="Calibri" w:cs="Calibri"/>
                <w:lang w:val="en-US"/>
              </w:rPr>
              <w:t xml:space="preserve"> </w:t>
            </w:r>
            <w:proofErr w:type="spellStart"/>
            <w:r w:rsidRPr="00A37C1D">
              <w:rPr>
                <w:rFonts w:ascii="Calibri" w:hAnsi="Calibri" w:cs="Calibri"/>
                <w:lang w:val="en-US"/>
              </w:rPr>
              <w:t>მაღალი</w:t>
            </w:r>
            <w:proofErr w:type="spellEnd"/>
            <w:r w:rsidRPr="00A37C1D">
              <w:rPr>
                <w:rFonts w:ascii="Calibri" w:hAnsi="Calibri" w:cs="Calibri"/>
                <w:lang w:val="en-US"/>
              </w:rPr>
              <w:t xml:space="preserve"> </w:t>
            </w:r>
            <w:proofErr w:type="spellStart"/>
            <w:r w:rsidRPr="00A37C1D">
              <w:rPr>
                <w:rFonts w:ascii="Calibri" w:hAnsi="Calibri" w:cs="Calibri"/>
                <w:lang w:val="en-US"/>
              </w:rPr>
              <w:t>სეისმურობა</w:t>
            </w:r>
            <w:proofErr w:type="spellEnd"/>
            <w:r w:rsidRPr="00A37C1D">
              <w:rPr>
                <w:rFonts w:ascii="Calibri" w:hAnsi="Calibri" w:cs="Calibri"/>
                <w:lang w:val="en-US"/>
              </w:rPr>
              <w:t xml:space="preserve">, </w:t>
            </w:r>
            <w:proofErr w:type="spellStart"/>
            <w:r w:rsidRPr="00A37C1D">
              <w:rPr>
                <w:rFonts w:ascii="Calibri" w:hAnsi="Calibri" w:cs="Calibri"/>
                <w:lang w:val="en-US"/>
              </w:rPr>
              <w:t>განლაგების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სიღრმე</w:t>
            </w:r>
            <w:proofErr w:type="spellEnd"/>
            <w:r w:rsidRPr="00A37C1D">
              <w:rPr>
                <w:rFonts w:ascii="Calibri" w:hAnsi="Calibri" w:cs="Calibri"/>
                <w:lang w:val="en-US"/>
              </w:rPr>
              <w:t xml:space="preserve"> და </w:t>
            </w:r>
            <w:proofErr w:type="spellStart"/>
            <w:r w:rsidRPr="00A37C1D">
              <w:rPr>
                <w:rFonts w:ascii="Calibri" w:hAnsi="Calibri" w:cs="Calibri"/>
                <w:lang w:val="en-US"/>
              </w:rPr>
              <w:t>გაზის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გაჟონვის</w:t>
            </w:r>
            <w:proofErr w:type="spellEnd"/>
            <w:r w:rsidRPr="00A37C1D">
              <w:rPr>
                <w:rFonts w:ascii="Calibri" w:hAnsi="Calibri" w:cs="Calibri"/>
                <w:lang w:val="en-US"/>
              </w:rPr>
              <w:t xml:space="preserve"> </w:t>
            </w:r>
            <w:proofErr w:type="spellStart"/>
            <w:r w:rsidRPr="00A37C1D">
              <w:rPr>
                <w:rFonts w:ascii="Calibri" w:hAnsi="Calibri" w:cs="Calibri"/>
                <w:lang w:val="en-US"/>
              </w:rPr>
              <w:t>აღმოხვრასთან</w:t>
            </w:r>
            <w:proofErr w:type="spellEnd"/>
            <w:r w:rsidRPr="00A37C1D">
              <w:rPr>
                <w:rFonts w:ascii="Calibri" w:hAnsi="Calibri" w:cs="Calibri"/>
                <w:lang w:val="en-US"/>
              </w:rPr>
              <w:t xml:space="preserve"> </w:t>
            </w:r>
            <w:proofErr w:type="spellStart"/>
            <w:r w:rsidRPr="00A37C1D">
              <w:rPr>
                <w:rFonts w:ascii="Calibri" w:hAnsi="Calibri" w:cs="Calibri"/>
                <w:lang w:val="en-US"/>
              </w:rPr>
              <w:t>დაკავშირებული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სიძნელეები</w:t>
            </w:r>
            <w:proofErr w:type="spellEnd"/>
            <w:r w:rsidRPr="00A37C1D">
              <w:rPr>
                <w:rFonts w:ascii="Calibri" w:hAnsi="Calibri" w:cs="Calibri"/>
                <w:lang w:val="en-US"/>
              </w:rPr>
              <w:t xml:space="preserve">), </w:t>
            </w:r>
            <w:proofErr w:type="spellStart"/>
            <w:r w:rsidRPr="00A37C1D">
              <w:rPr>
                <w:rFonts w:ascii="Calibri" w:hAnsi="Calibri" w:cs="Calibri"/>
                <w:lang w:val="en-US"/>
              </w:rPr>
              <w:t>რამაც</w:t>
            </w:r>
            <w:proofErr w:type="spellEnd"/>
            <w:r w:rsidRPr="00A37C1D">
              <w:rPr>
                <w:rFonts w:ascii="Calibri" w:hAnsi="Calibri" w:cs="Calibri"/>
                <w:lang w:val="en-US"/>
              </w:rPr>
              <w:t xml:space="preserve"> </w:t>
            </w:r>
            <w:proofErr w:type="spellStart"/>
            <w:r w:rsidRPr="00A37C1D">
              <w:rPr>
                <w:rFonts w:ascii="Calibri" w:hAnsi="Calibri" w:cs="Calibri"/>
                <w:lang w:val="en-US"/>
              </w:rPr>
              <w:t>განაპირობა</w:t>
            </w:r>
            <w:proofErr w:type="spellEnd"/>
            <w:r w:rsidRPr="00A37C1D">
              <w:rPr>
                <w:rFonts w:ascii="Calibri" w:hAnsi="Calibri" w:cs="Calibri"/>
                <w:lang w:val="en-US"/>
              </w:rPr>
              <w:t xml:space="preserve"> </w:t>
            </w:r>
            <w:proofErr w:type="spellStart"/>
            <w:r w:rsidRPr="00A37C1D">
              <w:rPr>
                <w:rFonts w:ascii="Calibri" w:hAnsi="Calibri" w:cs="Calibri"/>
                <w:lang w:val="en-US"/>
              </w:rPr>
              <w:t>პროექტის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გაუმართლებლად</w:t>
            </w:r>
            <w:proofErr w:type="spellEnd"/>
            <w:r w:rsidRPr="00A37C1D">
              <w:rPr>
                <w:rFonts w:ascii="Calibri" w:hAnsi="Calibri" w:cs="Calibri"/>
                <w:lang w:val="en-US"/>
              </w:rPr>
              <w:t xml:space="preserve"> </w:t>
            </w:r>
            <w:proofErr w:type="spellStart"/>
            <w:r w:rsidRPr="00A37C1D">
              <w:rPr>
                <w:rFonts w:ascii="Calibri" w:hAnsi="Calibri" w:cs="Calibri"/>
                <w:lang w:val="en-US"/>
              </w:rPr>
              <w:t>მაღალი</w:t>
            </w:r>
            <w:proofErr w:type="spellEnd"/>
            <w:r w:rsidRPr="00A37C1D">
              <w:rPr>
                <w:rFonts w:ascii="Calibri" w:hAnsi="Calibri" w:cs="Calibri"/>
                <w:lang w:val="en-US"/>
              </w:rPr>
              <w:t xml:space="preserve"> </w:t>
            </w:r>
            <w:proofErr w:type="spellStart"/>
            <w:r w:rsidRPr="00A37C1D">
              <w:rPr>
                <w:rFonts w:ascii="Calibri" w:hAnsi="Calibri" w:cs="Calibri"/>
                <w:lang w:val="en-US"/>
              </w:rPr>
              <w:t>საინვესტიციო</w:t>
            </w:r>
            <w:proofErr w:type="spellEnd"/>
            <w:r w:rsidRPr="00A37C1D">
              <w:rPr>
                <w:rFonts w:ascii="Calibri" w:hAnsi="Calibri" w:cs="Calibri"/>
                <w:lang w:val="en-US"/>
              </w:rPr>
              <w:t xml:space="preserve"> </w:t>
            </w:r>
            <w:proofErr w:type="spellStart"/>
            <w:r w:rsidRPr="00A37C1D">
              <w:rPr>
                <w:rFonts w:ascii="Calibri" w:hAnsi="Calibri" w:cs="Calibri"/>
                <w:lang w:val="en-US"/>
              </w:rPr>
              <w:t>ღირებულება</w:t>
            </w:r>
            <w:proofErr w:type="spellEnd"/>
            <w:r w:rsidR="00C20705" w:rsidRPr="00A37C1D">
              <w:rPr>
                <w:rFonts w:ascii="Calibri" w:hAnsi="Calibri" w:cs="Calibri"/>
                <w:lang w:val="en-US"/>
              </w:rPr>
              <w:t>.</w:t>
            </w:r>
            <w:r w:rsidRPr="00A37C1D">
              <w:rPr>
                <w:rFonts w:ascii="Calibri" w:hAnsi="Calibri" w:cs="Calibri"/>
                <w:lang w:val="en-US"/>
              </w:rPr>
              <w:t xml:space="preserve"> </w:t>
            </w:r>
            <w:proofErr w:type="spellStart"/>
            <w:r w:rsidRPr="00A37C1D">
              <w:rPr>
                <w:rFonts w:ascii="Calibri" w:hAnsi="Calibri" w:cs="Calibri"/>
                <w:lang w:val="en-US"/>
              </w:rPr>
              <w:t>აგრეთვე</w:t>
            </w:r>
            <w:proofErr w:type="spellEnd"/>
            <w:r w:rsidRPr="00A37C1D">
              <w:rPr>
                <w:rFonts w:ascii="Calibri" w:hAnsi="Calibri" w:cs="Calibri"/>
                <w:lang w:val="en-US"/>
              </w:rPr>
              <w:t xml:space="preserve">, </w:t>
            </w:r>
            <w:proofErr w:type="spellStart"/>
            <w:r w:rsidRPr="00A37C1D">
              <w:rPr>
                <w:rFonts w:ascii="Calibri" w:hAnsi="Calibri" w:cs="Calibri"/>
                <w:lang w:val="en-US"/>
              </w:rPr>
              <w:t>ქვეყნის</w:t>
            </w:r>
            <w:proofErr w:type="spellEnd"/>
            <w:r w:rsidRPr="00A37C1D">
              <w:rPr>
                <w:rFonts w:ascii="Calibri" w:hAnsi="Calibri" w:cs="Calibri"/>
                <w:lang w:val="en-US"/>
              </w:rPr>
              <w:t xml:space="preserve"> </w:t>
            </w:r>
            <w:proofErr w:type="spellStart"/>
            <w:r w:rsidRPr="00A37C1D">
              <w:rPr>
                <w:rFonts w:ascii="Calibri" w:hAnsi="Calibri" w:cs="Calibri"/>
                <w:lang w:val="en-US"/>
              </w:rPr>
              <w:t>მთავრობის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გადაწყვეტილებით</w:t>
            </w:r>
            <w:proofErr w:type="spellEnd"/>
            <w:r w:rsidR="00C20705" w:rsidRPr="00A37C1D">
              <w:rPr>
                <w:rFonts w:ascii="Calibri" w:hAnsi="Calibri" w:cs="Calibri"/>
                <w:lang w:val="en-US"/>
              </w:rPr>
              <w:t>,</w:t>
            </w:r>
            <w:r w:rsidRPr="00A37C1D">
              <w:rPr>
                <w:rFonts w:ascii="Calibri" w:hAnsi="Calibri" w:cs="Calibri"/>
                <w:lang w:val="en-US"/>
              </w:rPr>
              <w:t xml:space="preserve"> </w:t>
            </w:r>
            <w:proofErr w:type="spellStart"/>
            <w:r w:rsidRPr="00A37C1D">
              <w:rPr>
                <w:rFonts w:ascii="Calibri" w:hAnsi="Calibri" w:cs="Calibri"/>
                <w:lang w:val="en-US"/>
              </w:rPr>
              <w:t>გერმანიის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განვითარების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ბანკის</w:t>
            </w:r>
            <w:proofErr w:type="spellEnd"/>
            <w:r w:rsidRPr="00A37C1D">
              <w:rPr>
                <w:rFonts w:ascii="Calibri" w:hAnsi="Calibri" w:cs="Calibri"/>
                <w:lang w:val="en-US"/>
              </w:rPr>
              <w:t xml:space="preserve"> (</w:t>
            </w:r>
            <w:proofErr w:type="spellStart"/>
            <w:r w:rsidRPr="00A37C1D">
              <w:rPr>
                <w:rFonts w:ascii="Calibri" w:hAnsi="Calibri" w:cs="Calibri"/>
                <w:lang w:val="en-US"/>
              </w:rPr>
              <w:t>KfW</w:t>
            </w:r>
            <w:proofErr w:type="spellEnd"/>
            <w:r w:rsidRPr="00A37C1D">
              <w:rPr>
                <w:rFonts w:ascii="Calibri" w:hAnsi="Calibri" w:cs="Calibri"/>
                <w:lang w:val="en-US"/>
              </w:rPr>
              <w:t xml:space="preserve">) </w:t>
            </w:r>
            <w:proofErr w:type="spellStart"/>
            <w:r w:rsidRPr="00A37C1D">
              <w:rPr>
                <w:rFonts w:ascii="Calibri" w:hAnsi="Calibri" w:cs="Calibri"/>
                <w:lang w:val="en-US"/>
              </w:rPr>
              <w:t>მიერ</w:t>
            </w:r>
            <w:proofErr w:type="spellEnd"/>
            <w:r w:rsidRPr="00A37C1D">
              <w:rPr>
                <w:rFonts w:ascii="Calibri" w:hAnsi="Calibri" w:cs="Calibri"/>
                <w:lang w:val="en-US"/>
              </w:rPr>
              <w:t xml:space="preserve"> </w:t>
            </w:r>
            <w:proofErr w:type="spellStart"/>
            <w:r w:rsidRPr="00A37C1D">
              <w:rPr>
                <w:rFonts w:ascii="Calibri" w:hAnsi="Calibri" w:cs="Calibri"/>
                <w:lang w:val="en-US"/>
              </w:rPr>
              <w:t>პროექტის</w:t>
            </w:r>
            <w:proofErr w:type="spellEnd"/>
            <w:r w:rsidRPr="00A37C1D">
              <w:rPr>
                <w:rFonts w:ascii="Calibri" w:hAnsi="Calibri" w:cs="Calibri"/>
                <w:lang w:val="en-US"/>
              </w:rPr>
              <w:t xml:space="preserve"> </w:t>
            </w:r>
            <w:proofErr w:type="spellStart"/>
            <w:r w:rsidRPr="00A37C1D">
              <w:rPr>
                <w:rFonts w:ascii="Calibri" w:hAnsi="Calibri" w:cs="Calibri"/>
                <w:lang w:val="en-US"/>
              </w:rPr>
              <w:t>რეალიზაციისათვის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გამოყოფილი</w:t>
            </w:r>
            <w:proofErr w:type="spellEnd"/>
            <w:r w:rsidRPr="00A37C1D">
              <w:rPr>
                <w:rFonts w:ascii="Calibri" w:hAnsi="Calibri" w:cs="Calibri"/>
                <w:lang w:val="en-US"/>
              </w:rPr>
              <w:t xml:space="preserve"> </w:t>
            </w:r>
            <w:proofErr w:type="spellStart"/>
            <w:r w:rsidRPr="00A37C1D">
              <w:rPr>
                <w:rFonts w:ascii="Calibri" w:hAnsi="Calibri" w:cs="Calibri"/>
                <w:lang w:val="en-US"/>
              </w:rPr>
              <w:t>სესხიდან</w:t>
            </w:r>
            <w:proofErr w:type="spellEnd"/>
            <w:r w:rsidRPr="00A37C1D">
              <w:rPr>
                <w:rFonts w:ascii="Calibri" w:hAnsi="Calibri" w:cs="Calibri"/>
                <w:lang w:val="en-US"/>
              </w:rPr>
              <w:t xml:space="preserve"> 120 </w:t>
            </w:r>
            <w:proofErr w:type="spellStart"/>
            <w:r w:rsidRPr="00A37C1D">
              <w:rPr>
                <w:rFonts w:ascii="Calibri" w:hAnsi="Calibri" w:cs="Calibri"/>
                <w:lang w:val="en-US"/>
              </w:rPr>
              <w:t>მლნ</w:t>
            </w:r>
            <w:proofErr w:type="spellEnd"/>
            <w:r w:rsidRPr="00A37C1D">
              <w:rPr>
                <w:rFonts w:ascii="Calibri" w:hAnsi="Calibri" w:cs="Calibri"/>
                <w:lang w:val="en-US"/>
              </w:rPr>
              <w:t xml:space="preserve"> </w:t>
            </w:r>
            <w:proofErr w:type="spellStart"/>
            <w:r w:rsidRPr="00A37C1D">
              <w:rPr>
                <w:rFonts w:ascii="Calibri" w:hAnsi="Calibri" w:cs="Calibri"/>
                <w:lang w:val="en-US"/>
              </w:rPr>
              <w:t>ევროს</w:t>
            </w:r>
            <w:proofErr w:type="spellEnd"/>
            <w:r w:rsidRPr="00A37C1D">
              <w:rPr>
                <w:rFonts w:ascii="Calibri" w:hAnsi="Calibri" w:cs="Calibri"/>
                <w:lang w:val="en-US"/>
              </w:rPr>
              <w:t xml:space="preserve"> </w:t>
            </w:r>
            <w:proofErr w:type="spellStart"/>
            <w:r w:rsidRPr="00A37C1D">
              <w:rPr>
                <w:rFonts w:ascii="Calibri" w:hAnsi="Calibri" w:cs="Calibri"/>
                <w:lang w:val="en-US"/>
              </w:rPr>
              <w:t>გახარჯვა</w:t>
            </w:r>
            <w:proofErr w:type="spellEnd"/>
            <w:r w:rsidR="00C20705" w:rsidRPr="00A37C1D">
              <w:rPr>
                <w:rFonts w:ascii="Calibri" w:hAnsi="Calibri" w:cs="Calibri"/>
                <w:lang w:val="en-US"/>
              </w:rPr>
              <w:t xml:space="preserve"> </w:t>
            </w:r>
            <w:proofErr w:type="spellStart"/>
            <w:r w:rsidR="00C20705" w:rsidRPr="00A37C1D">
              <w:rPr>
                <w:rFonts w:ascii="Calibri" w:hAnsi="Calibri" w:cs="Calibri"/>
                <w:lang w:val="en-US"/>
              </w:rPr>
              <w:t>მოხდა</w:t>
            </w:r>
            <w:proofErr w:type="spellEnd"/>
            <w:r w:rsidRPr="00A37C1D">
              <w:rPr>
                <w:rFonts w:ascii="Calibri" w:hAnsi="Calibri" w:cs="Calibri"/>
                <w:lang w:val="en-US"/>
              </w:rPr>
              <w:t xml:space="preserve"> </w:t>
            </w:r>
            <w:proofErr w:type="spellStart"/>
            <w:r w:rsidRPr="00A37C1D">
              <w:rPr>
                <w:rFonts w:ascii="Calibri" w:hAnsi="Calibri" w:cs="Calibri"/>
                <w:lang w:val="en-US"/>
              </w:rPr>
              <w:t>კოვიდპანდემიასთან</w:t>
            </w:r>
            <w:proofErr w:type="spellEnd"/>
            <w:r w:rsidRPr="00A37C1D">
              <w:rPr>
                <w:rFonts w:ascii="Calibri" w:hAnsi="Calibri" w:cs="Calibri"/>
                <w:lang w:val="en-US"/>
              </w:rPr>
              <w:t xml:space="preserve"> </w:t>
            </w:r>
            <w:proofErr w:type="spellStart"/>
            <w:r w:rsidRPr="00A37C1D">
              <w:rPr>
                <w:rFonts w:ascii="Calibri" w:hAnsi="Calibri" w:cs="Calibri"/>
                <w:lang w:val="en-US"/>
              </w:rPr>
              <w:t>ბრძოლის</w:t>
            </w:r>
            <w:proofErr w:type="spellEnd"/>
            <w:r w:rsidRPr="00A37C1D">
              <w:rPr>
                <w:rFonts w:ascii="Calibri" w:hAnsi="Calibri" w:cs="Calibri"/>
                <w:lang w:val="en-US"/>
              </w:rPr>
              <w:t xml:space="preserve"> </w:t>
            </w:r>
            <w:proofErr w:type="spellStart"/>
            <w:r w:rsidRPr="00A37C1D">
              <w:rPr>
                <w:rFonts w:ascii="Calibri" w:hAnsi="Calibri" w:cs="Calibri"/>
                <w:lang w:val="en-US"/>
              </w:rPr>
              <w:t>ღონისძიებებზე</w:t>
            </w:r>
            <w:proofErr w:type="spellEnd"/>
            <w:r w:rsidRPr="00A37C1D">
              <w:rPr>
                <w:rFonts w:ascii="Calibri" w:hAnsi="Calibri" w:cs="Calibri"/>
                <w:lang w:val="en-US"/>
              </w:rPr>
              <w:t>.</w:t>
            </w:r>
          </w:p>
          <w:p w14:paraId="757086BB" w14:textId="77777777" w:rsidR="00942E85" w:rsidRPr="00A37C1D" w:rsidRDefault="00942E85" w:rsidP="00942E85">
            <w:pPr>
              <w:jc w:val="both"/>
              <w:rPr>
                <w:rFonts w:ascii="Calibri" w:hAnsi="Calibri" w:cs="Calibri"/>
                <w:lang w:val="en-US"/>
              </w:rPr>
            </w:pPr>
          </w:p>
          <w:p w14:paraId="78EDA2F9" w14:textId="2643EB4F" w:rsidR="00942E85" w:rsidRPr="00A37C1D" w:rsidRDefault="00942E85" w:rsidP="00942E85">
            <w:pPr>
              <w:jc w:val="both"/>
              <w:rPr>
                <w:rFonts w:ascii="Calibri" w:hAnsi="Calibri" w:cs="Calibri"/>
                <w:lang w:val="en-US"/>
              </w:rPr>
            </w:pPr>
            <w:proofErr w:type="spellStart"/>
            <w:r w:rsidRPr="00A37C1D">
              <w:rPr>
                <w:rFonts w:ascii="Calibri" w:hAnsi="Calibri" w:cs="Calibri"/>
                <w:lang w:val="en-US"/>
              </w:rPr>
              <w:t>აღნიშნულის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გათვალისწინებით</w:t>
            </w:r>
            <w:proofErr w:type="spellEnd"/>
            <w:r w:rsidRPr="00A37C1D">
              <w:rPr>
                <w:rFonts w:ascii="Calibri" w:hAnsi="Calibri" w:cs="Calibri"/>
                <w:lang w:val="en-US"/>
              </w:rPr>
              <w:t xml:space="preserve"> </w:t>
            </w:r>
            <w:proofErr w:type="spellStart"/>
            <w:r w:rsidR="00C20705" w:rsidRPr="00A37C1D">
              <w:rPr>
                <w:rFonts w:ascii="Calibri" w:hAnsi="Calibri" w:cs="Calibri"/>
                <w:lang w:val="en-US"/>
              </w:rPr>
              <w:t>შემოთავაზებულია</w:t>
            </w:r>
            <w:proofErr w:type="spellEnd"/>
            <w:r w:rsidRPr="00A37C1D">
              <w:rPr>
                <w:rFonts w:ascii="Calibri" w:hAnsi="Calibri" w:cs="Calibri"/>
                <w:lang w:val="en-US"/>
              </w:rPr>
              <w:t xml:space="preserve"> </w:t>
            </w:r>
            <w:proofErr w:type="spellStart"/>
            <w:r w:rsidRPr="00A37C1D">
              <w:rPr>
                <w:rFonts w:ascii="Calibri" w:hAnsi="Calibri" w:cs="Calibri"/>
                <w:lang w:val="en-US"/>
              </w:rPr>
              <w:t>გაზსაცავთან</w:t>
            </w:r>
            <w:proofErr w:type="spellEnd"/>
            <w:r w:rsidRPr="00A37C1D">
              <w:rPr>
                <w:rFonts w:ascii="Calibri" w:hAnsi="Calibri" w:cs="Calibri"/>
                <w:lang w:val="en-US"/>
              </w:rPr>
              <w:t xml:space="preserve"> </w:t>
            </w:r>
            <w:proofErr w:type="spellStart"/>
            <w:r w:rsidRPr="00A37C1D">
              <w:rPr>
                <w:rFonts w:ascii="Calibri" w:hAnsi="Calibri" w:cs="Calibri"/>
                <w:lang w:val="en-US"/>
              </w:rPr>
              <w:t>დაკავშირებული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პუნქტის</w:t>
            </w:r>
            <w:proofErr w:type="spellEnd"/>
            <w:r w:rsidRPr="00A37C1D">
              <w:rPr>
                <w:rFonts w:ascii="Calibri" w:hAnsi="Calibri" w:cs="Calibri"/>
                <w:lang w:val="en-US"/>
              </w:rPr>
              <w:t xml:space="preserve"> შემდეგ</w:t>
            </w:r>
            <w:r w:rsidR="00C20705" w:rsidRPr="00A37C1D">
              <w:rPr>
                <w:rFonts w:ascii="Calibri" w:hAnsi="Calibri" w:cs="Calibri"/>
                <w:lang w:val="en-US"/>
              </w:rPr>
              <w:t>ი</w:t>
            </w:r>
            <w:r w:rsidRPr="00A37C1D">
              <w:rPr>
                <w:rFonts w:ascii="Calibri" w:hAnsi="Calibri" w:cs="Calibri"/>
                <w:lang w:val="en-US"/>
              </w:rPr>
              <w:t xml:space="preserve"> </w:t>
            </w:r>
            <w:proofErr w:type="spellStart"/>
            <w:r w:rsidRPr="00A37C1D">
              <w:rPr>
                <w:rFonts w:ascii="Calibri" w:hAnsi="Calibri" w:cs="Calibri"/>
                <w:lang w:val="en-US"/>
              </w:rPr>
              <w:t>რედაქცია</w:t>
            </w:r>
            <w:proofErr w:type="spellEnd"/>
            <w:r w:rsidRPr="00A37C1D">
              <w:rPr>
                <w:rFonts w:ascii="Calibri" w:hAnsi="Calibri" w:cs="Calibri"/>
                <w:lang w:val="en-US"/>
              </w:rPr>
              <w:t>:</w:t>
            </w:r>
          </w:p>
          <w:p w14:paraId="4F923227" w14:textId="77777777" w:rsidR="00942E85" w:rsidRPr="00A37C1D" w:rsidRDefault="00942E85" w:rsidP="00942E85">
            <w:pPr>
              <w:jc w:val="both"/>
              <w:rPr>
                <w:rFonts w:ascii="Calibri" w:hAnsi="Calibri" w:cs="Calibri"/>
                <w:lang w:val="en-US"/>
              </w:rPr>
            </w:pPr>
          </w:p>
          <w:p w14:paraId="5F9A9D85" w14:textId="369ADA36" w:rsidR="00013E96" w:rsidRPr="00A37C1D" w:rsidRDefault="00942E85" w:rsidP="00942E85">
            <w:pPr>
              <w:jc w:val="both"/>
              <w:rPr>
                <w:rFonts w:ascii="Calibri" w:hAnsi="Calibri" w:cs="Calibri"/>
                <w:lang w:val="en-US"/>
              </w:rPr>
            </w:pPr>
            <w:r w:rsidRPr="00A37C1D">
              <w:rPr>
                <w:rFonts w:ascii="Calibri" w:hAnsi="Calibri" w:cs="Calibri"/>
                <w:lang w:val="en-US"/>
              </w:rPr>
              <w:t>„</w:t>
            </w:r>
            <w:proofErr w:type="spellStart"/>
            <w:r w:rsidRPr="00A37C1D">
              <w:rPr>
                <w:rFonts w:ascii="Calibri" w:hAnsi="Calibri" w:cs="Calibri"/>
                <w:lang w:val="en-US"/>
              </w:rPr>
              <w:t>მიმდინარეობს</w:t>
            </w:r>
            <w:proofErr w:type="spellEnd"/>
            <w:r w:rsidRPr="00A37C1D">
              <w:rPr>
                <w:rFonts w:ascii="Calibri" w:hAnsi="Calibri" w:cs="Calibri"/>
                <w:lang w:val="en-US"/>
              </w:rPr>
              <w:t xml:space="preserve"> </w:t>
            </w:r>
            <w:proofErr w:type="spellStart"/>
            <w:r w:rsidRPr="00A37C1D">
              <w:rPr>
                <w:rFonts w:ascii="Calibri" w:hAnsi="Calibri" w:cs="Calibri"/>
                <w:lang w:val="en-US"/>
              </w:rPr>
              <w:t>მუშაობა</w:t>
            </w:r>
            <w:proofErr w:type="spellEnd"/>
            <w:r w:rsidRPr="00A37C1D">
              <w:rPr>
                <w:rFonts w:ascii="Calibri" w:hAnsi="Calibri" w:cs="Calibri"/>
                <w:lang w:val="en-US"/>
              </w:rPr>
              <w:t xml:space="preserve"> </w:t>
            </w:r>
            <w:proofErr w:type="spellStart"/>
            <w:r w:rsidRPr="00A37C1D">
              <w:rPr>
                <w:rFonts w:ascii="Calibri" w:hAnsi="Calibri" w:cs="Calibri"/>
                <w:lang w:val="en-US"/>
              </w:rPr>
              <w:t>ბუნებრივი</w:t>
            </w:r>
            <w:proofErr w:type="spellEnd"/>
            <w:r w:rsidRPr="00A37C1D">
              <w:rPr>
                <w:rFonts w:ascii="Calibri" w:hAnsi="Calibri" w:cs="Calibri"/>
                <w:lang w:val="en-US"/>
              </w:rPr>
              <w:t xml:space="preserve"> </w:t>
            </w:r>
            <w:proofErr w:type="spellStart"/>
            <w:r w:rsidRPr="00A37C1D">
              <w:rPr>
                <w:rFonts w:ascii="Calibri" w:hAnsi="Calibri" w:cs="Calibri"/>
                <w:lang w:val="en-US"/>
              </w:rPr>
              <w:t>გაზის</w:t>
            </w:r>
            <w:proofErr w:type="spellEnd"/>
            <w:r w:rsidRPr="00A37C1D">
              <w:rPr>
                <w:rFonts w:ascii="Calibri" w:hAnsi="Calibri" w:cs="Calibri"/>
                <w:lang w:val="en-US"/>
              </w:rPr>
              <w:t xml:space="preserve"> </w:t>
            </w:r>
            <w:proofErr w:type="spellStart"/>
            <w:r w:rsidRPr="00A37C1D">
              <w:rPr>
                <w:rFonts w:ascii="Calibri" w:hAnsi="Calibri" w:cs="Calibri"/>
                <w:lang w:val="en-US"/>
              </w:rPr>
              <w:t>დარეზერვების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ეფექტური</w:t>
            </w:r>
            <w:proofErr w:type="spellEnd"/>
            <w:r w:rsidRPr="00A37C1D">
              <w:rPr>
                <w:rFonts w:ascii="Calibri" w:hAnsi="Calibri" w:cs="Calibri"/>
                <w:lang w:val="en-US"/>
              </w:rPr>
              <w:t xml:space="preserve"> </w:t>
            </w:r>
            <w:proofErr w:type="spellStart"/>
            <w:r w:rsidRPr="00A37C1D">
              <w:rPr>
                <w:rFonts w:ascii="Calibri" w:hAnsi="Calibri" w:cs="Calibri"/>
                <w:lang w:val="en-US"/>
              </w:rPr>
              <w:t>საშუალების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განსაზღვრისათვის</w:t>
            </w:r>
            <w:proofErr w:type="spellEnd"/>
            <w:r w:rsidRPr="00A37C1D">
              <w:rPr>
                <w:rFonts w:ascii="Calibri" w:hAnsi="Calibri" w:cs="Calibri"/>
                <w:lang w:val="en-US"/>
              </w:rPr>
              <w:t xml:space="preserve">. </w:t>
            </w:r>
            <w:proofErr w:type="gramStart"/>
            <w:r w:rsidRPr="00A37C1D">
              <w:rPr>
                <w:rFonts w:ascii="Calibri" w:hAnsi="Calibri" w:cs="Calibri"/>
                <w:lang w:val="en-US"/>
              </w:rPr>
              <w:t>ამ</w:t>
            </w:r>
            <w:proofErr w:type="gramEnd"/>
            <w:r w:rsidRPr="00A37C1D">
              <w:rPr>
                <w:rFonts w:ascii="Calibri" w:hAnsi="Calibri" w:cs="Calibri"/>
                <w:lang w:val="en-US"/>
              </w:rPr>
              <w:t xml:space="preserve"> </w:t>
            </w:r>
            <w:proofErr w:type="spellStart"/>
            <w:r w:rsidRPr="00A37C1D">
              <w:rPr>
                <w:rFonts w:ascii="Calibri" w:hAnsi="Calibri" w:cs="Calibri"/>
                <w:lang w:val="en-US"/>
              </w:rPr>
              <w:t>მიზნით</w:t>
            </w:r>
            <w:proofErr w:type="spellEnd"/>
            <w:r w:rsidRPr="00A37C1D">
              <w:rPr>
                <w:rFonts w:ascii="Calibri" w:hAnsi="Calibri" w:cs="Calibri"/>
                <w:lang w:val="en-US"/>
              </w:rPr>
              <w:t xml:space="preserve">, </w:t>
            </w:r>
            <w:proofErr w:type="spellStart"/>
            <w:r w:rsidRPr="00A37C1D">
              <w:rPr>
                <w:rFonts w:ascii="Calibri" w:hAnsi="Calibri" w:cs="Calibri"/>
                <w:lang w:val="en-US"/>
              </w:rPr>
              <w:t>ამერიკის</w:t>
            </w:r>
            <w:proofErr w:type="spellEnd"/>
            <w:r w:rsidRPr="00A37C1D">
              <w:rPr>
                <w:rFonts w:ascii="Calibri" w:hAnsi="Calibri" w:cs="Calibri"/>
                <w:lang w:val="en-US"/>
              </w:rPr>
              <w:t xml:space="preserve"> </w:t>
            </w:r>
            <w:proofErr w:type="spellStart"/>
            <w:r w:rsidRPr="00A37C1D">
              <w:rPr>
                <w:rFonts w:ascii="Calibri" w:hAnsi="Calibri" w:cs="Calibri"/>
                <w:lang w:val="en-US"/>
              </w:rPr>
              <w:t>შეერთებული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შტატების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საერთაშორისო</w:t>
            </w:r>
            <w:proofErr w:type="spellEnd"/>
            <w:r w:rsidRPr="00A37C1D">
              <w:rPr>
                <w:rFonts w:ascii="Calibri" w:hAnsi="Calibri" w:cs="Calibri"/>
                <w:lang w:val="en-US"/>
              </w:rPr>
              <w:t xml:space="preserve"> </w:t>
            </w:r>
            <w:proofErr w:type="spellStart"/>
            <w:r w:rsidRPr="00A37C1D">
              <w:rPr>
                <w:rFonts w:ascii="Calibri" w:hAnsi="Calibri" w:cs="Calibri"/>
                <w:lang w:val="en-US"/>
              </w:rPr>
              <w:t>განვითარების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სააგენტოს</w:t>
            </w:r>
            <w:proofErr w:type="spellEnd"/>
            <w:r w:rsidRPr="00A37C1D">
              <w:rPr>
                <w:rFonts w:ascii="Calibri" w:hAnsi="Calibri" w:cs="Calibri"/>
                <w:lang w:val="en-US"/>
              </w:rPr>
              <w:t xml:space="preserve"> (USAID) </w:t>
            </w:r>
            <w:proofErr w:type="spellStart"/>
            <w:r w:rsidRPr="00A37C1D">
              <w:rPr>
                <w:rFonts w:ascii="Calibri" w:hAnsi="Calibri" w:cs="Calibri"/>
                <w:lang w:val="en-US"/>
              </w:rPr>
              <w:t>დახმარებით</w:t>
            </w:r>
            <w:proofErr w:type="spellEnd"/>
            <w:r w:rsidRPr="00A37C1D">
              <w:rPr>
                <w:rFonts w:ascii="Calibri" w:hAnsi="Calibri" w:cs="Calibri"/>
                <w:lang w:val="en-US"/>
              </w:rPr>
              <w:t xml:space="preserve">, </w:t>
            </w:r>
            <w:proofErr w:type="spellStart"/>
            <w:r w:rsidRPr="00A37C1D">
              <w:rPr>
                <w:rFonts w:ascii="Calibri" w:hAnsi="Calibri" w:cs="Calibri"/>
                <w:lang w:val="en-US"/>
              </w:rPr>
              <w:t>მუშავდება</w:t>
            </w:r>
            <w:proofErr w:type="spellEnd"/>
            <w:r w:rsidRPr="00A37C1D">
              <w:rPr>
                <w:rFonts w:ascii="Calibri" w:hAnsi="Calibri" w:cs="Calibri"/>
                <w:lang w:val="en-US"/>
              </w:rPr>
              <w:t xml:space="preserve"> </w:t>
            </w:r>
            <w:proofErr w:type="spellStart"/>
            <w:r w:rsidRPr="00A37C1D">
              <w:rPr>
                <w:rFonts w:ascii="Calibri" w:hAnsi="Calibri" w:cs="Calibri"/>
                <w:lang w:val="en-US"/>
              </w:rPr>
              <w:t>პროექტი</w:t>
            </w:r>
            <w:proofErr w:type="spellEnd"/>
            <w:r w:rsidRPr="00A37C1D">
              <w:rPr>
                <w:rFonts w:ascii="Calibri" w:hAnsi="Calibri" w:cs="Calibri"/>
                <w:lang w:val="en-US"/>
              </w:rPr>
              <w:t xml:space="preserve"> გაზსაცავის </w:t>
            </w:r>
            <w:proofErr w:type="spellStart"/>
            <w:r w:rsidRPr="00A37C1D">
              <w:rPr>
                <w:rFonts w:ascii="Calibri" w:hAnsi="Calibri" w:cs="Calibri"/>
                <w:lang w:val="en-US"/>
              </w:rPr>
              <w:t>არსებული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პროექტის</w:t>
            </w:r>
            <w:proofErr w:type="spellEnd"/>
            <w:r w:rsidRPr="00A37C1D">
              <w:rPr>
                <w:rFonts w:ascii="Calibri" w:hAnsi="Calibri" w:cs="Calibri"/>
                <w:lang w:val="en-US"/>
              </w:rPr>
              <w:t xml:space="preserve"> </w:t>
            </w:r>
            <w:proofErr w:type="spellStart"/>
            <w:r w:rsidRPr="00A37C1D">
              <w:rPr>
                <w:rFonts w:ascii="Calibri" w:hAnsi="Calibri" w:cs="Calibri"/>
                <w:lang w:val="en-US"/>
              </w:rPr>
              <w:t>მოდერნიზაციის</w:t>
            </w:r>
            <w:proofErr w:type="spellEnd"/>
            <w:r w:rsidRPr="00A37C1D">
              <w:rPr>
                <w:rFonts w:ascii="Calibri" w:hAnsi="Calibri" w:cs="Calibri"/>
                <w:lang w:val="en-US"/>
              </w:rPr>
              <w:t xml:space="preserve"> </w:t>
            </w:r>
            <w:proofErr w:type="spellStart"/>
            <w:r w:rsidRPr="00A37C1D">
              <w:rPr>
                <w:rFonts w:ascii="Calibri" w:hAnsi="Calibri" w:cs="Calibri"/>
                <w:lang w:val="en-US"/>
              </w:rPr>
              <w:t>შესაძლებლობის</w:t>
            </w:r>
            <w:proofErr w:type="spellEnd"/>
            <w:r w:rsidRPr="00A37C1D">
              <w:rPr>
                <w:rFonts w:ascii="Calibri" w:hAnsi="Calibri" w:cs="Calibri"/>
                <w:lang w:val="en-US"/>
              </w:rPr>
              <w:t xml:space="preserve"> </w:t>
            </w:r>
            <w:proofErr w:type="spellStart"/>
            <w:r w:rsidRPr="00A37C1D">
              <w:rPr>
                <w:rFonts w:ascii="Calibri" w:hAnsi="Calibri" w:cs="Calibri"/>
                <w:lang w:val="en-US"/>
              </w:rPr>
              <w:t>ან</w:t>
            </w:r>
            <w:proofErr w:type="spellEnd"/>
            <w:r w:rsidRPr="00A37C1D">
              <w:rPr>
                <w:rFonts w:ascii="Calibri" w:hAnsi="Calibri" w:cs="Calibri"/>
                <w:lang w:val="en-US"/>
              </w:rPr>
              <w:t xml:space="preserve"> </w:t>
            </w:r>
            <w:proofErr w:type="spellStart"/>
            <w:r w:rsidRPr="00A37C1D">
              <w:rPr>
                <w:rFonts w:ascii="Calibri" w:hAnsi="Calibri" w:cs="Calibri"/>
                <w:lang w:val="en-US"/>
              </w:rPr>
              <w:t>თანამედროვე</w:t>
            </w:r>
            <w:proofErr w:type="spellEnd"/>
            <w:r w:rsidRPr="00A37C1D">
              <w:rPr>
                <w:rFonts w:ascii="Calibri" w:hAnsi="Calibri" w:cs="Calibri"/>
                <w:lang w:val="en-US"/>
              </w:rPr>
              <w:t xml:space="preserve"> </w:t>
            </w:r>
            <w:proofErr w:type="spellStart"/>
            <w:r w:rsidRPr="00A37C1D">
              <w:rPr>
                <w:rFonts w:ascii="Calibri" w:hAnsi="Calibri" w:cs="Calibri"/>
                <w:lang w:val="en-US"/>
              </w:rPr>
              <w:t>მოთხოვნებზე</w:t>
            </w:r>
            <w:proofErr w:type="spellEnd"/>
            <w:r w:rsidRPr="00A37C1D">
              <w:rPr>
                <w:rFonts w:ascii="Calibri" w:hAnsi="Calibri" w:cs="Calibri"/>
                <w:lang w:val="en-US"/>
              </w:rPr>
              <w:t xml:space="preserve"> </w:t>
            </w:r>
            <w:proofErr w:type="spellStart"/>
            <w:r w:rsidRPr="00A37C1D">
              <w:rPr>
                <w:rFonts w:ascii="Calibri" w:hAnsi="Calibri" w:cs="Calibri"/>
                <w:lang w:val="en-US"/>
              </w:rPr>
              <w:t>მორგებული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ალტერნატიული</w:t>
            </w:r>
            <w:proofErr w:type="spellEnd"/>
            <w:r w:rsidRPr="00A37C1D">
              <w:rPr>
                <w:rFonts w:ascii="Calibri" w:hAnsi="Calibri" w:cs="Calibri"/>
                <w:lang w:val="en-US"/>
              </w:rPr>
              <w:t xml:space="preserve"> </w:t>
            </w:r>
            <w:proofErr w:type="spellStart"/>
            <w:r w:rsidRPr="00A37C1D">
              <w:rPr>
                <w:rFonts w:ascii="Calibri" w:hAnsi="Calibri" w:cs="Calibri"/>
                <w:lang w:val="en-US"/>
              </w:rPr>
              <w:t>დარეზერვების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პროექტის</w:t>
            </w:r>
            <w:proofErr w:type="spellEnd"/>
            <w:r w:rsidRPr="00A37C1D">
              <w:rPr>
                <w:rFonts w:ascii="Calibri" w:hAnsi="Calibri" w:cs="Calibri"/>
                <w:lang w:val="en-US"/>
              </w:rPr>
              <w:t xml:space="preserve"> </w:t>
            </w:r>
            <w:proofErr w:type="spellStart"/>
            <w:r w:rsidRPr="00A37C1D">
              <w:rPr>
                <w:rFonts w:ascii="Calibri" w:hAnsi="Calibri" w:cs="Calibri"/>
                <w:lang w:val="en-US"/>
              </w:rPr>
              <w:t>რეალიზაციის</w:t>
            </w:r>
            <w:proofErr w:type="spellEnd"/>
            <w:r w:rsidRPr="00A37C1D">
              <w:rPr>
                <w:rFonts w:ascii="Calibri" w:hAnsi="Calibri" w:cs="Calibri"/>
                <w:lang w:val="en-US"/>
              </w:rPr>
              <w:t xml:space="preserve"> </w:t>
            </w:r>
            <w:proofErr w:type="spellStart"/>
            <w:r w:rsidRPr="00A37C1D">
              <w:rPr>
                <w:rFonts w:ascii="Calibri" w:hAnsi="Calibri" w:cs="Calibri"/>
                <w:lang w:val="en-US"/>
              </w:rPr>
              <w:t>მიზანშეწონილობის</w:t>
            </w:r>
            <w:proofErr w:type="spellEnd"/>
            <w:r w:rsidRPr="00A37C1D">
              <w:rPr>
                <w:rFonts w:ascii="Calibri" w:hAnsi="Calibri" w:cs="Calibri"/>
                <w:lang w:val="en-US"/>
              </w:rPr>
              <w:t xml:space="preserve"> </w:t>
            </w:r>
            <w:proofErr w:type="spellStart"/>
            <w:r w:rsidRPr="00A37C1D">
              <w:rPr>
                <w:rFonts w:ascii="Calibri" w:hAnsi="Calibri" w:cs="Calibri"/>
                <w:lang w:val="en-US"/>
              </w:rPr>
              <w:t>დადგენისათვის</w:t>
            </w:r>
            <w:proofErr w:type="spellEnd"/>
            <w:r w:rsidRPr="00A37C1D">
              <w:rPr>
                <w:rFonts w:ascii="Calibri" w:hAnsi="Calibri" w:cs="Calibri"/>
                <w:lang w:val="en-US"/>
              </w:rPr>
              <w:t>.“</w:t>
            </w:r>
          </w:p>
        </w:tc>
      </w:tr>
      <w:tr w:rsidR="00013E96" w:rsidRPr="00A37C1D" w14:paraId="4F39FE98" w14:textId="77777777" w:rsidTr="00013E96">
        <w:tc>
          <w:tcPr>
            <w:tcW w:w="562" w:type="dxa"/>
          </w:tcPr>
          <w:p w14:paraId="326B5E1F" w14:textId="77777777" w:rsidR="00013E96" w:rsidRPr="00A37C1D" w:rsidRDefault="00013E96" w:rsidP="00013E96">
            <w:pPr>
              <w:pStyle w:val="ListParagraph"/>
              <w:numPr>
                <w:ilvl w:val="0"/>
                <w:numId w:val="7"/>
              </w:numPr>
              <w:rPr>
                <w:rFonts w:ascii="Calibri" w:hAnsi="Calibri" w:cs="Calibri"/>
              </w:rPr>
            </w:pPr>
          </w:p>
        </w:tc>
        <w:tc>
          <w:tcPr>
            <w:tcW w:w="5528" w:type="dxa"/>
          </w:tcPr>
          <w:p w14:paraId="5C0695D0" w14:textId="387F28A1" w:rsidR="00013E96" w:rsidRPr="00A37C1D" w:rsidRDefault="00013E96" w:rsidP="00013E96">
            <w:pPr>
              <w:pBdr>
                <w:top w:val="nil"/>
                <w:left w:val="nil"/>
                <w:bottom w:val="nil"/>
                <w:right w:val="nil"/>
                <w:between w:val="nil"/>
              </w:pBdr>
              <w:jc w:val="both"/>
              <w:rPr>
                <w:rFonts w:ascii="Calibri" w:hAnsi="Calibri" w:cs="Calibri"/>
              </w:rPr>
            </w:pPr>
            <w:r w:rsidRPr="00A37C1D">
              <w:rPr>
                <w:rFonts w:ascii="Calibri" w:hAnsi="Calibri" w:cs="Calibri"/>
              </w:rPr>
              <w:t>სგშ-ს დოკუმენტში წარმოდგენილი ინფორმაციის ზოგადი სახითაა, განსაკუთრებით მესამე („საქართველოში გარემოს მდგომარეობისა და გარემოს დაცვის ზოგადი შეფასება“) და მეოთხე („სტრატეგიული დოკუმენტების განხორციელების შესაძლო ზემოქმედება გარემოსა და ადამიანის ჯანმრთელობაზე და ამ ზემოქმედებების წინააღმდეგ მიმართული ღონისძიებები“) თავებში, რომელთა შორის ბმა კონკრეტული ლოკაციების დონეზე არაა წარმოდგენილი. მესამე თავში განხილული ზოგადი (კონკრეტულ ღონისძიებასთან და ლოკაციასთან არ მიბმული) ინფორმაცია გარემოს სხვადასხვა ელემენტების მდგომარეობის შესახებ არც მეოთხე თავშია დაკონკრეტებული, რომელშიც უკვე ღონისძიებები და მათი ლოკაციები დაკონკრეტებულია, მხოლოდ რამდენიმე ღონისძიების შემთხვევაშია კორელაცია ზემოქმედების შეფასებასთან და მოსალოდნელი უარყოფითი გავლენა შედარებით კონკრეტულად არის წარმოდგენილი, მაგრამ ეს სტანდარტი არაა შენარჩუნებული ყველა ღონისძიებისათვის, რომელიც განხილულია ძალიან მნიშვნელოვანი და მნიშვნელოვანი გავლენის მქონე კატეგორიებში;</w:t>
            </w:r>
          </w:p>
        </w:tc>
        <w:tc>
          <w:tcPr>
            <w:tcW w:w="8363" w:type="dxa"/>
          </w:tcPr>
          <w:p w14:paraId="03AE4281" w14:textId="16A6F8EA" w:rsidR="00013E96" w:rsidRPr="00A37C1D" w:rsidRDefault="00373103" w:rsidP="00013E96">
            <w:pPr>
              <w:jc w:val="both"/>
              <w:rPr>
                <w:rFonts w:ascii="Calibri" w:hAnsi="Calibri" w:cs="Calibri"/>
                <w:lang w:val="en-US"/>
              </w:rPr>
            </w:pPr>
            <w:proofErr w:type="spellStart"/>
            <w:r w:rsidRPr="00A37C1D">
              <w:rPr>
                <w:rFonts w:ascii="Calibri" w:hAnsi="Calibri" w:cs="Calibri"/>
                <w:lang w:val="en-US"/>
              </w:rPr>
              <w:t>სტრატეგიული</w:t>
            </w:r>
            <w:proofErr w:type="spellEnd"/>
            <w:r w:rsidRPr="00A37C1D">
              <w:rPr>
                <w:rFonts w:ascii="Calibri" w:hAnsi="Calibri" w:cs="Calibri"/>
                <w:lang w:val="en-US"/>
              </w:rPr>
              <w:t xml:space="preserve"> </w:t>
            </w:r>
            <w:proofErr w:type="spellStart"/>
            <w:r w:rsidRPr="00A37C1D">
              <w:rPr>
                <w:rFonts w:ascii="Calibri" w:hAnsi="Calibri" w:cs="Calibri"/>
                <w:lang w:val="en-US"/>
              </w:rPr>
              <w:t>დოკუმენტებით</w:t>
            </w:r>
            <w:proofErr w:type="spellEnd"/>
            <w:r w:rsidRPr="00A37C1D">
              <w:rPr>
                <w:rFonts w:ascii="Calibri" w:hAnsi="Calibri" w:cs="Calibri"/>
                <w:lang w:val="en-US"/>
              </w:rPr>
              <w:t xml:space="preserve"> </w:t>
            </w:r>
            <w:proofErr w:type="spellStart"/>
            <w:r w:rsidRPr="00A37C1D">
              <w:rPr>
                <w:rFonts w:ascii="Calibri" w:hAnsi="Calibri" w:cs="Calibri"/>
                <w:lang w:val="en-US"/>
              </w:rPr>
              <w:t>გათვალისწინებული</w:t>
            </w:r>
            <w:proofErr w:type="spellEnd"/>
            <w:r w:rsidRPr="00A37C1D">
              <w:rPr>
                <w:rFonts w:ascii="Calibri" w:hAnsi="Calibri" w:cs="Calibri"/>
                <w:lang w:val="en-US"/>
              </w:rPr>
              <w:t xml:space="preserve"> </w:t>
            </w:r>
            <w:proofErr w:type="spellStart"/>
            <w:r w:rsidRPr="00A37C1D">
              <w:rPr>
                <w:rFonts w:ascii="Calibri" w:hAnsi="Calibri" w:cs="Calibri"/>
                <w:lang w:val="en-US"/>
              </w:rPr>
              <w:t>პროექტები</w:t>
            </w:r>
            <w:proofErr w:type="spellEnd"/>
            <w:r w:rsidRPr="00A37C1D">
              <w:rPr>
                <w:rFonts w:ascii="Calibri" w:hAnsi="Calibri" w:cs="Calibri"/>
                <w:lang w:val="en-US"/>
              </w:rPr>
              <w:t xml:space="preserve"> </w:t>
            </w:r>
            <w:proofErr w:type="spellStart"/>
            <w:r w:rsidRPr="00A37C1D">
              <w:rPr>
                <w:rFonts w:ascii="Calibri" w:hAnsi="Calibri" w:cs="Calibri"/>
                <w:lang w:val="en-US"/>
              </w:rPr>
              <w:t>მთელი</w:t>
            </w:r>
            <w:proofErr w:type="spellEnd"/>
            <w:r w:rsidRPr="00A37C1D">
              <w:rPr>
                <w:rFonts w:ascii="Calibri" w:hAnsi="Calibri" w:cs="Calibri"/>
                <w:lang w:val="en-US"/>
              </w:rPr>
              <w:t xml:space="preserve"> საქართველოს </w:t>
            </w:r>
            <w:proofErr w:type="spellStart"/>
            <w:r w:rsidRPr="00A37C1D">
              <w:rPr>
                <w:rFonts w:ascii="Calibri" w:hAnsi="Calibri" w:cs="Calibri"/>
                <w:lang w:val="en-US"/>
              </w:rPr>
              <w:t>მასშტაბით</w:t>
            </w:r>
            <w:proofErr w:type="spellEnd"/>
            <w:r w:rsidRPr="00A37C1D">
              <w:rPr>
                <w:rFonts w:ascii="Calibri" w:hAnsi="Calibri" w:cs="Calibri"/>
                <w:lang w:val="en-US"/>
              </w:rPr>
              <w:t xml:space="preserve"> </w:t>
            </w:r>
            <w:proofErr w:type="spellStart"/>
            <w:r w:rsidRPr="00A37C1D">
              <w:rPr>
                <w:rFonts w:ascii="Calibri" w:hAnsi="Calibri" w:cs="Calibri"/>
                <w:lang w:val="en-US"/>
              </w:rPr>
              <w:t>ხორციელდება</w:t>
            </w:r>
            <w:proofErr w:type="spellEnd"/>
            <w:r w:rsidRPr="00A37C1D">
              <w:rPr>
                <w:rFonts w:ascii="Calibri" w:hAnsi="Calibri" w:cs="Calibri"/>
                <w:lang w:val="en-US"/>
              </w:rPr>
              <w:t xml:space="preserve">. </w:t>
            </w:r>
            <w:proofErr w:type="spellStart"/>
            <w:r w:rsidRPr="00A37C1D">
              <w:rPr>
                <w:rFonts w:ascii="Calibri" w:hAnsi="Calibri" w:cs="Calibri"/>
                <w:lang w:val="en-US"/>
              </w:rPr>
              <w:t>შესაბამისად</w:t>
            </w:r>
            <w:proofErr w:type="spellEnd"/>
            <w:r w:rsidRPr="00A37C1D">
              <w:rPr>
                <w:rFonts w:ascii="Calibri" w:hAnsi="Calibri" w:cs="Calibri"/>
                <w:lang w:val="en-US"/>
              </w:rPr>
              <w:t xml:space="preserve">, </w:t>
            </w:r>
            <w:proofErr w:type="spellStart"/>
            <w:r w:rsidRPr="00A37C1D">
              <w:rPr>
                <w:rFonts w:ascii="Calibri" w:hAnsi="Calibri" w:cs="Calibri"/>
                <w:lang w:val="en-US"/>
              </w:rPr>
              <w:t>ტერიტორიის</w:t>
            </w:r>
            <w:proofErr w:type="spellEnd"/>
            <w:r w:rsidRPr="00A37C1D">
              <w:rPr>
                <w:rFonts w:ascii="Calibri" w:hAnsi="Calibri" w:cs="Calibri"/>
                <w:lang w:val="en-US"/>
              </w:rPr>
              <w:t xml:space="preserve"> </w:t>
            </w:r>
            <w:proofErr w:type="spellStart"/>
            <w:r w:rsidRPr="00A37C1D">
              <w:rPr>
                <w:rFonts w:ascii="Calibri" w:hAnsi="Calibri" w:cs="Calibri"/>
                <w:lang w:val="en-US"/>
              </w:rPr>
              <w:t>დიდი</w:t>
            </w:r>
            <w:proofErr w:type="spellEnd"/>
            <w:r w:rsidRPr="00A37C1D">
              <w:rPr>
                <w:rFonts w:ascii="Calibri" w:hAnsi="Calibri" w:cs="Calibri"/>
                <w:lang w:val="en-US"/>
              </w:rPr>
              <w:t xml:space="preserve"> </w:t>
            </w:r>
            <w:proofErr w:type="spellStart"/>
            <w:r w:rsidRPr="00A37C1D">
              <w:rPr>
                <w:rFonts w:ascii="Calibri" w:hAnsi="Calibri" w:cs="Calibri"/>
                <w:lang w:val="en-US"/>
              </w:rPr>
              <w:t>მასშტაბიდან</w:t>
            </w:r>
            <w:proofErr w:type="spellEnd"/>
            <w:r w:rsidRPr="00A37C1D">
              <w:rPr>
                <w:rFonts w:ascii="Calibri" w:hAnsi="Calibri" w:cs="Calibri"/>
                <w:lang w:val="en-US"/>
              </w:rPr>
              <w:t xml:space="preserve"> </w:t>
            </w:r>
            <w:proofErr w:type="spellStart"/>
            <w:r w:rsidRPr="00A37C1D">
              <w:rPr>
                <w:rFonts w:ascii="Calibri" w:hAnsi="Calibri" w:cs="Calibri"/>
                <w:lang w:val="en-US"/>
              </w:rPr>
              <w:t>გამომდინარე</w:t>
            </w:r>
            <w:proofErr w:type="spellEnd"/>
            <w:r w:rsidRPr="00A37C1D">
              <w:rPr>
                <w:rFonts w:ascii="Calibri" w:hAnsi="Calibri" w:cs="Calibri"/>
                <w:lang w:val="en-US"/>
              </w:rPr>
              <w:t>, სგშ-</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ანგარიშში</w:t>
            </w:r>
            <w:proofErr w:type="spellEnd"/>
            <w:r w:rsidRPr="00A37C1D">
              <w:rPr>
                <w:rFonts w:ascii="Calibri" w:hAnsi="Calibri" w:cs="Calibri"/>
                <w:lang w:val="en-US"/>
              </w:rPr>
              <w:t xml:space="preserve"> </w:t>
            </w:r>
            <w:proofErr w:type="spellStart"/>
            <w:r w:rsidRPr="00A37C1D">
              <w:rPr>
                <w:rFonts w:ascii="Calibri" w:hAnsi="Calibri" w:cs="Calibri"/>
                <w:lang w:val="en-US"/>
              </w:rPr>
              <w:t>შესაძლებელი</w:t>
            </w:r>
            <w:proofErr w:type="spellEnd"/>
            <w:r w:rsidRPr="00A37C1D">
              <w:rPr>
                <w:rFonts w:ascii="Calibri" w:hAnsi="Calibri" w:cs="Calibri"/>
                <w:lang w:val="en-US"/>
              </w:rPr>
              <w:t xml:space="preserve"> </w:t>
            </w:r>
            <w:proofErr w:type="spellStart"/>
            <w:r w:rsidRPr="00A37C1D">
              <w:rPr>
                <w:rFonts w:ascii="Calibri" w:hAnsi="Calibri" w:cs="Calibri"/>
                <w:lang w:val="en-US"/>
              </w:rPr>
              <w:t>იყო</w:t>
            </w:r>
            <w:proofErr w:type="spellEnd"/>
            <w:r w:rsidRPr="00A37C1D">
              <w:rPr>
                <w:rFonts w:ascii="Calibri" w:hAnsi="Calibri" w:cs="Calibri"/>
                <w:lang w:val="en-US"/>
              </w:rPr>
              <w:t xml:space="preserve"> </w:t>
            </w:r>
            <w:proofErr w:type="spellStart"/>
            <w:r w:rsidRPr="00A37C1D">
              <w:rPr>
                <w:rFonts w:ascii="Calibri" w:hAnsi="Calibri" w:cs="Calibri"/>
                <w:lang w:val="en-US"/>
              </w:rPr>
              <w:t>არსებული</w:t>
            </w:r>
            <w:proofErr w:type="spellEnd"/>
            <w:r w:rsidRPr="00A37C1D">
              <w:rPr>
                <w:rFonts w:ascii="Calibri" w:hAnsi="Calibri" w:cs="Calibri"/>
                <w:lang w:val="en-US"/>
              </w:rPr>
              <w:t xml:space="preserve"> გარემოს მხოლოდ </w:t>
            </w:r>
            <w:proofErr w:type="spellStart"/>
            <w:r w:rsidRPr="00A37C1D">
              <w:rPr>
                <w:rFonts w:ascii="Calibri" w:hAnsi="Calibri" w:cs="Calibri"/>
                <w:lang w:val="en-US"/>
              </w:rPr>
              <w:t>ზოგადი</w:t>
            </w:r>
            <w:proofErr w:type="spellEnd"/>
            <w:r w:rsidRPr="00A37C1D">
              <w:rPr>
                <w:rFonts w:ascii="Calibri" w:hAnsi="Calibri" w:cs="Calibri"/>
                <w:lang w:val="en-US"/>
              </w:rPr>
              <w:t xml:space="preserve"> </w:t>
            </w:r>
            <w:proofErr w:type="spellStart"/>
            <w:r w:rsidRPr="00A37C1D">
              <w:rPr>
                <w:rFonts w:ascii="Calibri" w:hAnsi="Calibri" w:cs="Calibri"/>
                <w:lang w:val="en-US"/>
              </w:rPr>
              <w:t>აღწერა</w:t>
            </w:r>
            <w:proofErr w:type="spellEnd"/>
            <w:r w:rsidRPr="00A37C1D">
              <w:rPr>
                <w:rFonts w:ascii="Calibri" w:hAnsi="Calibri" w:cs="Calibri"/>
                <w:lang w:val="en-US"/>
              </w:rPr>
              <w:t xml:space="preserve">. რაც შეეხება </w:t>
            </w:r>
            <w:proofErr w:type="spellStart"/>
            <w:r w:rsidRPr="00A37C1D">
              <w:rPr>
                <w:rFonts w:ascii="Calibri" w:hAnsi="Calibri" w:cs="Calibri"/>
                <w:lang w:val="en-US"/>
              </w:rPr>
              <w:t>ზემოქმედების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შეფასებას</w:t>
            </w:r>
            <w:proofErr w:type="spellEnd"/>
            <w:r w:rsidRPr="00A37C1D">
              <w:rPr>
                <w:rFonts w:ascii="Calibri" w:hAnsi="Calibri" w:cs="Calibri"/>
                <w:lang w:val="en-US"/>
              </w:rPr>
              <w:t xml:space="preserve">, </w:t>
            </w:r>
            <w:proofErr w:type="spellStart"/>
            <w:r w:rsidRPr="00A37C1D">
              <w:rPr>
                <w:rFonts w:ascii="Calibri" w:hAnsi="Calibri" w:cs="Calibri"/>
                <w:lang w:val="en-US"/>
              </w:rPr>
              <w:t>კონკრეტული</w:t>
            </w:r>
            <w:proofErr w:type="spellEnd"/>
            <w:r w:rsidRPr="00A37C1D">
              <w:rPr>
                <w:rFonts w:ascii="Calibri" w:hAnsi="Calibri" w:cs="Calibri"/>
                <w:lang w:val="en-US"/>
              </w:rPr>
              <w:t xml:space="preserve"> პროექტების </w:t>
            </w:r>
            <w:proofErr w:type="spellStart"/>
            <w:r w:rsidRPr="00A37C1D">
              <w:rPr>
                <w:rFonts w:ascii="Calibri" w:hAnsi="Calibri" w:cs="Calibri"/>
                <w:lang w:val="en-US"/>
              </w:rPr>
              <w:t>ზემოქმედების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შეფასებისთვის</w:t>
            </w:r>
            <w:proofErr w:type="spellEnd"/>
            <w:r w:rsidRPr="00A37C1D">
              <w:rPr>
                <w:rFonts w:ascii="Calibri" w:hAnsi="Calibri" w:cs="Calibri"/>
                <w:lang w:val="en-US"/>
              </w:rPr>
              <w:t xml:space="preserve"> </w:t>
            </w:r>
            <w:proofErr w:type="spellStart"/>
            <w:r w:rsidRPr="00A37C1D">
              <w:rPr>
                <w:rFonts w:ascii="Calibri" w:hAnsi="Calibri" w:cs="Calibri"/>
                <w:lang w:val="en-US"/>
              </w:rPr>
              <w:t>ლოკაციის</w:t>
            </w:r>
            <w:proofErr w:type="spellEnd"/>
            <w:r w:rsidRPr="00A37C1D">
              <w:rPr>
                <w:rFonts w:ascii="Calibri" w:hAnsi="Calibri" w:cs="Calibri"/>
                <w:lang w:val="en-US"/>
              </w:rPr>
              <w:t xml:space="preserve"> </w:t>
            </w:r>
            <w:proofErr w:type="spellStart"/>
            <w:r w:rsidRPr="00A37C1D">
              <w:rPr>
                <w:rFonts w:ascii="Calibri" w:hAnsi="Calibri" w:cs="Calibri"/>
                <w:lang w:val="en-US"/>
              </w:rPr>
              <w:t>გარდა</w:t>
            </w:r>
            <w:proofErr w:type="spellEnd"/>
            <w:r w:rsidRPr="00A37C1D">
              <w:rPr>
                <w:rFonts w:ascii="Calibri" w:hAnsi="Calibri" w:cs="Calibri"/>
                <w:lang w:val="en-US"/>
              </w:rPr>
              <w:t xml:space="preserve"> </w:t>
            </w:r>
            <w:proofErr w:type="spellStart"/>
            <w:r w:rsidRPr="00A37C1D">
              <w:rPr>
                <w:rFonts w:ascii="Calibri" w:hAnsi="Calibri" w:cs="Calibri"/>
                <w:lang w:val="en-US"/>
              </w:rPr>
              <w:t>აუცილებელია</w:t>
            </w:r>
            <w:proofErr w:type="spellEnd"/>
            <w:r w:rsidRPr="00A37C1D">
              <w:rPr>
                <w:rFonts w:ascii="Calibri" w:hAnsi="Calibri" w:cs="Calibri"/>
                <w:lang w:val="en-US"/>
              </w:rPr>
              <w:t xml:space="preserve"> </w:t>
            </w:r>
            <w:proofErr w:type="spellStart"/>
            <w:r w:rsidRPr="00A37C1D">
              <w:rPr>
                <w:rFonts w:ascii="Calibri" w:hAnsi="Calibri" w:cs="Calibri"/>
                <w:lang w:val="en-US"/>
              </w:rPr>
              <w:t>პროექტის</w:t>
            </w:r>
            <w:proofErr w:type="spellEnd"/>
            <w:r w:rsidRPr="00A37C1D">
              <w:rPr>
                <w:rFonts w:ascii="Calibri" w:hAnsi="Calibri" w:cs="Calibri"/>
                <w:lang w:val="en-US"/>
              </w:rPr>
              <w:t xml:space="preserve"> შესახებ </w:t>
            </w:r>
            <w:proofErr w:type="spellStart"/>
            <w:r w:rsidRPr="00A37C1D">
              <w:rPr>
                <w:rFonts w:ascii="Calibri" w:hAnsi="Calibri" w:cs="Calibri"/>
                <w:lang w:val="en-US"/>
              </w:rPr>
              <w:t>მეტი</w:t>
            </w:r>
            <w:proofErr w:type="spellEnd"/>
            <w:r w:rsidRPr="00A37C1D">
              <w:rPr>
                <w:rFonts w:ascii="Calibri" w:hAnsi="Calibri" w:cs="Calibri"/>
                <w:lang w:val="en-US"/>
              </w:rPr>
              <w:t xml:space="preserve"> </w:t>
            </w:r>
            <w:proofErr w:type="spellStart"/>
            <w:r w:rsidRPr="00A37C1D">
              <w:rPr>
                <w:rFonts w:ascii="Calibri" w:hAnsi="Calibri" w:cs="Calibri"/>
                <w:lang w:val="en-US"/>
              </w:rPr>
              <w:t>დეტალების</w:t>
            </w:r>
            <w:proofErr w:type="spellEnd"/>
            <w:r w:rsidRPr="00A37C1D">
              <w:rPr>
                <w:rFonts w:ascii="Calibri" w:hAnsi="Calibri" w:cs="Calibri"/>
                <w:lang w:val="en-US"/>
              </w:rPr>
              <w:t xml:space="preserve"> </w:t>
            </w:r>
            <w:proofErr w:type="spellStart"/>
            <w:r w:rsidRPr="00A37C1D">
              <w:rPr>
                <w:rFonts w:ascii="Calibri" w:hAnsi="Calibri" w:cs="Calibri"/>
                <w:lang w:val="en-US"/>
              </w:rPr>
              <w:t>ცოდნა</w:t>
            </w:r>
            <w:proofErr w:type="spellEnd"/>
            <w:r w:rsidRPr="00A37C1D">
              <w:rPr>
                <w:rFonts w:ascii="Calibri" w:hAnsi="Calibri" w:cs="Calibri"/>
                <w:lang w:val="en-US"/>
              </w:rPr>
              <w:t>. სგშ-</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დეტალურობის</w:t>
            </w:r>
            <w:proofErr w:type="spellEnd"/>
            <w:r w:rsidRPr="00A37C1D">
              <w:rPr>
                <w:rFonts w:ascii="Calibri" w:hAnsi="Calibri" w:cs="Calibri"/>
                <w:lang w:val="en-US"/>
              </w:rPr>
              <w:t xml:space="preserve"> </w:t>
            </w:r>
            <w:proofErr w:type="spellStart"/>
            <w:r w:rsidRPr="00A37C1D">
              <w:rPr>
                <w:rFonts w:ascii="Calibri" w:hAnsi="Calibri" w:cs="Calibri"/>
                <w:lang w:val="en-US"/>
              </w:rPr>
              <w:t>ხარისხი</w:t>
            </w:r>
            <w:proofErr w:type="spellEnd"/>
            <w:r w:rsidRPr="00A37C1D">
              <w:rPr>
                <w:rFonts w:ascii="Calibri" w:hAnsi="Calibri" w:cs="Calibri"/>
                <w:lang w:val="en-US"/>
              </w:rPr>
              <w:t xml:space="preserve"> </w:t>
            </w:r>
            <w:proofErr w:type="spellStart"/>
            <w:r w:rsidRPr="00A37C1D">
              <w:rPr>
                <w:rFonts w:ascii="Calibri" w:hAnsi="Calibri" w:cs="Calibri"/>
                <w:lang w:val="en-US"/>
              </w:rPr>
              <w:t>თავად</w:t>
            </w:r>
            <w:proofErr w:type="spellEnd"/>
            <w:r w:rsidRPr="00A37C1D">
              <w:rPr>
                <w:rFonts w:ascii="Calibri" w:hAnsi="Calibri" w:cs="Calibri"/>
                <w:lang w:val="en-US"/>
              </w:rPr>
              <w:t xml:space="preserve"> </w:t>
            </w:r>
            <w:proofErr w:type="spellStart"/>
            <w:r w:rsidRPr="00A37C1D">
              <w:rPr>
                <w:rFonts w:ascii="Calibri" w:hAnsi="Calibri" w:cs="Calibri"/>
                <w:lang w:val="en-US"/>
              </w:rPr>
              <w:t>სტრატეგიული</w:t>
            </w:r>
            <w:proofErr w:type="spellEnd"/>
            <w:r w:rsidRPr="00A37C1D">
              <w:rPr>
                <w:rFonts w:ascii="Calibri" w:hAnsi="Calibri" w:cs="Calibri"/>
                <w:lang w:val="en-US"/>
              </w:rPr>
              <w:t xml:space="preserve"> </w:t>
            </w:r>
            <w:proofErr w:type="spellStart"/>
            <w:r w:rsidRPr="00A37C1D">
              <w:rPr>
                <w:rFonts w:ascii="Calibri" w:hAnsi="Calibri" w:cs="Calibri"/>
                <w:lang w:val="en-US"/>
              </w:rPr>
              <w:t>დოკუმენტის</w:t>
            </w:r>
            <w:proofErr w:type="spellEnd"/>
            <w:r w:rsidRPr="00A37C1D">
              <w:rPr>
                <w:rFonts w:ascii="Calibri" w:hAnsi="Calibri" w:cs="Calibri"/>
                <w:lang w:val="en-US"/>
              </w:rPr>
              <w:t xml:space="preserve"> </w:t>
            </w:r>
            <w:proofErr w:type="spellStart"/>
            <w:r w:rsidRPr="00A37C1D">
              <w:rPr>
                <w:rFonts w:ascii="Calibri" w:hAnsi="Calibri" w:cs="Calibri"/>
                <w:lang w:val="en-US"/>
              </w:rPr>
              <w:t>დეტალიზაციის</w:t>
            </w:r>
            <w:proofErr w:type="spellEnd"/>
            <w:r w:rsidRPr="00A37C1D">
              <w:rPr>
                <w:rFonts w:ascii="Calibri" w:hAnsi="Calibri" w:cs="Calibri"/>
                <w:lang w:val="en-US"/>
              </w:rPr>
              <w:t xml:space="preserve"> </w:t>
            </w:r>
            <w:proofErr w:type="spellStart"/>
            <w:r w:rsidRPr="00A37C1D">
              <w:rPr>
                <w:rFonts w:ascii="Calibri" w:hAnsi="Calibri" w:cs="Calibri"/>
                <w:lang w:val="en-US"/>
              </w:rPr>
              <w:t>შესაბამისია</w:t>
            </w:r>
            <w:proofErr w:type="spellEnd"/>
            <w:r w:rsidRPr="00A37C1D">
              <w:rPr>
                <w:rFonts w:ascii="Calibri" w:hAnsi="Calibri" w:cs="Calibri"/>
                <w:lang w:val="en-US"/>
              </w:rPr>
              <w:t xml:space="preserve">. </w:t>
            </w:r>
            <w:proofErr w:type="spellStart"/>
            <w:r w:rsidRPr="00A37C1D">
              <w:rPr>
                <w:rFonts w:ascii="Calibri" w:hAnsi="Calibri" w:cs="Calibri"/>
                <w:lang w:val="en-US"/>
              </w:rPr>
              <w:t>ხშირ</w:t>
            </w:r>
            <w:proofErr w:type="spellEnd"/>
            <w:r w:rsidRPr="00A37C1D">
              <w:rPr>
                <w:rFonts w:ascii="Calibri" w:hAnsi="Calibri" w:cs="Calibri"/>
                <w:lang w:val="en-US"/>
              </w:rPr>
              <w:t xml:space="preserve"> </w:t>
            </w:r>
            <w:proofErr w:type="spellStart"/>
            <w:r w:rsidRPr="00A37C1D">
              <w:rPr>
                <w:rFonts w:ascii="Calibri" w:hAnsi="Calibri" w:cs="Calibri"/>
                <w:lang w:val="en-US"/>
              </w:rPr>
              <w:t>შემთხვევაში</w:t>
            </w:r>
            <w:proofErr w:type="spellEnd"/>
            <w:r w:rsidRPr="00A37C1D">
              <w:rPr>
                <w:rFonts w:ascii="Calibri" w:hAnsi="Calibri" w:cs="Calibri"/>
                <w:lang w:val="en-US"/>
              </w:rPr>
              <w:t xml:space="preserve">, </w:t>
            </w:r>
            <w:proofErr w:type="spellStart"/>
            <w:r w:rsidRPr="00A37C1D">
              <w:rPr>
                <w:rFonts w:ascii="Calibri" w:hAnsi="Calibri" w:cs="Calibri"/>
                <w:lang w:val="en-US"/>
              </w:rPr>
              <w:t>როცა</w:t>
            </w:r>
            <w:proofErr w:type="spellEnd"/>
            <w:r w:rsidRPr="00A37C1D">
              <w:rPr>
                <w:rFonts w:ascii="Calibri" w:hAnsi="Calibri" w:cs="Calibri"/>
                <w:lang w:val="en-US"/>
              </w:rPr>
              <w:t xml:space="preserve"> </w:t>
            </w:r>
            <w:proofErr w:type="spellStart"/>
            <w:r w:rsidRPr="00A37C1D">
              <w:rPr>
                <w:rFonts w:ascii="Calibri" w:hAnsi="Calibri" w:cs="Calibri"/>
                <w:lang w:val="en-US"/>
              </w:rPr>
              <w:t>პროექტის</w:t>
            </w:r>
            <w:proofErr w:type="spellEnd"/>
            <w:r w:rsidRPr="00A37C1D">
              <w:rPr>
                <w:rFonts w:ascii="Calibri" w:hAnsi="Calibri" w:cs="Calibri"/>
                <w:lang w:val="en-US"/>
              </w:rPr>
              <w:t xml:space="preserve"> შესახებ </w:t>
            </w:r>
            <w:proofErr w:type="spellStart"/>
            <w:r w:rsidRPr="00A37C1D">
              <w:rPr>
                <w:rFonts w:ascii="Calibri" w:hAnsi="Calibri" w:cs="Calibri"/>
                <w:lang w:val="en-US"/>
              </w:rPr>
              <w:t>მეტი</w:t>
            </w:r>
            <w:proofErr w:type="spellEnd"/>
            <w:r w:rsidRPr="00A37C1D">
              <w:rPr>
                <w:rFonts w:ascii="Calibri" w:hAnsi="Calibri" w:cs="Calibri"/>
                <w:lang w:val="en-US"/>
              </w:rPr>
              <w:t xml:space="preserve"> </w:t>
            </w:r>
            <w:proofErr w:type="spellStart"/>
            <w:r w:rsidRPr="00A37C1D">
              <w:rPr>
                <w:rFonts w:ascii="Calibri" w:hAnsi="Calibri" w:cs="Calibri"/>
                <w:lang w:val="en-US"/>
              </w:rPr>
              <w:t>ინფორმაცია</w:t>
            </w:r>
            <w:proofErr w:type="spellEnd"/>
            <w:r w:rsidRPr="00A37C1D">
              <w:rPr>
                <w:rFonts w:ascii="Calibri" w:hAnsi="Calibri" w:cs="Calibri"/>
                <w:lang w:val="en-US"/>
              </w:rPr>
              <w:t xml:space="preserve"> </w:t>
            </w:r>
            <w:proofErr w:type="spellStart"/>
            <w:r w:rsidRPr="00A37C1D">
              <w:rPr>
                <w:rFonts w:ascii="Calibri" w:hAnsi="Calibri" w:cs="Calibri"/>
                <w:lang w:val="en-US"/>
              </w:rPr>
              <w:t>არ</w:t>
            </w:r>
            <w:proofErr w:type="spellEnd"/>
            <w:r w:rsidRPr="00A37C1D">
              <w:rPr>
                <w:rFonts w:ascii="Calibri" w:hAnsi="Calibri" w:cs="Calibri"/>
                <w:lang w:val="en-US"/>
              </w:rPr>
              <w:t xml:space="preserve"> არის </w:t>
            </w:r>
            <w:proofErr w:type="spellStart"/>
            <w:r w:rsidRPr="00A37C1D">
              <w:rPr>
                <w:rFonts w:ascii="Calibri" w:hAnsi="Calibri" w:cs="Calibri"/>
                <w:lang w:val="en-US"/>
              </w:rPr>
              <w:t>ცნობილი</w:t>
            </w:r>
            <w:proofErr w:type="spellEnd"/>
            <w:r w:rsidRPr="00A37C1D">
              <w:rPr>
                <w:rFonts w:ascii="Calibri" w:hAnsi="Calibri" w:cs="Calibri"/>
                <w:lang w:val="en-US"/>
              </w:rPr>
              <w:t xml:space="preserve">, </w:t>
            </w:r>
            <w:proofErr w:type="spellStart"/>
            <w:r w:rsidRPr="00A37C1D">
              <w:rPr>
                <w:rFonts w:ascii="Calibri" w:hAnsi="Calibri" w:cs="Calibri"/>
                <w:lang w:val="en-US"/>
              </w:rPr>
              <w:t>შესაძლებელია</w:t>
            </w:r>
            <w:proofErr w:type="spellEnd"/>
            <w:r w:rsidRPr="00A37C1D">
              <w:rPr>
                <w:rFonts w:ascii="Calibri" w:hAnsi="Calibri" w:cs="Calibri"/>
                <w:lang w:val="en-US"/>
              </w:rPr>
              <w:t xml:space="preserve"> მხოლოდ </w:t>
            </w:r>
            <w:proofErr w:type="spellStart"/>
            <w:r w:rsidRPr="00A37C1D">
              <w:rPr>
                <w:rFonts w:ascii="Calibri" w:hAnsi="Calibri" w:cs="Calibri"/>
                <w:lang w:val="en-US"/>
              </w:rPr>
              <w:t>ზოგადი</w:t>
            </w:r>
            <w:proofErr w:type="spellEnd"/>
            <w:r w:rsidRPr="00A37C1D">
              <w:rPr>
                <w:rFonts w:ascii="Calibri" w:hAnsi="Calibri" w:cs="Calibri"/>
                <w:lang w:val="en-US"/>
              </w:rPr>
              <w:t xml:space="preserve"> </w:t>
            </w:r>
            <w:proofErr w:type="spellStart"/>
            <w:r w:rsidRPr="00A37C1D">
              <w:rPr>
                <w:rFonts w:ascii="Calibri" w:hAnsi="Calibri" w:cs="Calibri"/>
                <w:lang w:val="en-US"/>
              </w:rPr>
              <w:t>სახის</w:t>
            </w:r>
            <w:proofErr w:type="spellEnd"/>
            <w:r w:rsidRPr="00A37C1D">
              <w:rPr>
                <w:rFonts w:ascii="Calibri" w:hAnsi="Calibri" w:cs="Calibri"/>
                <w:lang w:val="en-US"/>
              </w:rPr>
              <w:t xml:space="preserve"> </w:t>
            </w:r>
            <w:proofErr w:type="spellStart"/>
            <w:r w:rsidRPr="00A37C1D">
              <w:rPr>
                <w:rFonts w:ascii="Calibri" w:hAnsi="Calibri" w:cs="Calibri"/>
                <w:lang w:val="en-US"/>
              </w:rPr>
              <w:t>ზემოქმედებებზე</w:t>
            </w:r>
            <w:proofErr w:type="spellEnd"/>
            <w:r w:rsidRPr="00A37C1D">
              <w:rPr>
                <w:rFonts w:ascii="Calibri" w:hAnsi="Calibri" w:cs="Calibri"/>
                <w:lang w:val="en-US"/>
              </w:rPr>
              <w:t xml:space="preserve"> </w:t>
            </w:r>
            <w:proofErr w:type="spellStart"/>
            <w:r w:rsidRPr="00A37C1D">
              <w:rPr>
                <w:rFonts w:ascii="Calibri" w:hAnsi="Calibri" w:cs="Calibri"/>
                <w:lang w:val="en-US"/>
              </w:rPr>
              <w:t>საუბარი</w:t>
            </w:r>
            <w:proofErr w:type="spellEnd"/>
            <w:r w:rsidRPr="00A37C1D">
              <w:rPr>
                <w:rFonts w:ascii="Calibri" w:hAnsi="Calibri" w:cs="Calibri"/>
                <w:lang w:val="en-US"/>
              </w:rPr>
              <w:t xml:space="preserve">. </w:t>
            </w:r>
            <w:proofErr w:type="spellStart"/>
            <w:proofErr w:type="gramStart"/>
            <w:r w:rsidRPr="00A37C1D">
              <w:rPr>
                <w:rFonts w:ascii="Calibri" w:hAnsi="Calibri" w:cs="Calibri"/>
                <w:lang w:val="en-US"/>
              </w:rPr>
              <w:t>ეს</w:t>
            </w:r>
            <w:proofErr w:type="spellEnd"/>
            <w:proofErr w:type="gramEnd"/>
            <w:r w:rsidRPr="00A37C1D">
              <w:rPr>
                <w:rFonts w:ascii="Calibri" w:hAnsi="Calibri" w:cs="Calibri"/>
                <w:lang w:val="en-US"/>
              </w:rPr>
              <w:t xml:space="preserve"> </w:t>
            </w:r>
            <w:proofErr w:type="spellStart"/>
            <w:r w:rsidRPr="00A37C1D">
              <w:rPr>
                <w:rFonts w:ascii="Calibri" w:hAnsi="Calibri" w:cs="Calibri"/>
                <w:lang w:val="en-US"/>
              </w:rPr>
              <w:t>ზემოქმედებები</w:t>
            </w:r>
            <w:proofErr w:type="spellEnd"/>
            <w:r w:rsidRPr="00A37C1D">
              <w:rPr>
                <w:rFonts w:ascii="Calibri" w:hAnsi="Calibri" w:cs="Calibri"/>
                <w:lang w:val="en-US"/>
              </w:rPr>
              <w:t xml:space="preserve"> </w:t>
            </w:r>
            <w:proofErr w:type="spellStart"/>
            <w:r w:rsidRPr="00A37C1D">
              <w:rPr>
                <w:rFonts w:ascii="Calibri" w:hAnsi="Calibri" w:cs="Calibri"/>
                <w:lang w:val="en-US"/>
              </w:rPr>
              <w:t>დეტალურად</w:t>
            </w:r>
            <w:proofErr w:type="spellEnd"/>
            <w:r w:rsidRPr="00A37C1D">
              <w:rPr>
                <w:rFonts w:ascii="Calibri" w:hAnsi="Calibri" w:cs="Calibri"/>
                <w:lang w:val="en-US"/>
              </w:rPr>
              <w:t xml:space="preserve"> უნდა </w:t>
            </w:r>
            <w:proofErr w:type="spellStart"/>
            <w:r w:rsidRPr="00A37C1D">
              <w:rPr>
                <w:rFonts w:ascii="Calibri" w:hAnsi="Calibri" w:cs="Calibri"/>
                <w:lang w:val="en-US"/>
              </w:rPr>
              <w:t>იქნეს</w:t>
            </w:r>
            <w:proofErr w:type="spellEnd"/>
            <w:r w:rsidRPr="00A37C1D">
              <w:rPr>
                <w:rFonts w:ascii="Calibri" w:hAnsi="Calibri" w:cs="Calibri"/>
                <w:lang w:val="en-US"/>
              </w:rPr>
              <w:t xml:space="preserve"> </w:t>
            </w:r>
            <w:proofErr w:type="spellStart"/>
            <w:r w:rsidRPr="00A37C1D">
              <w:rPr>
                <w:rFonts w:ascii="Calibri" w:hAnsi="Calibri" w:cs="Calibri"/>
                <w:lang w:val="en-US"/>
              </w:rPr>
              <w:t>განხილული</w:t>
            </w:r>
            <w:proofErr w:type="spellEnd"/>
            <w:r w:rsidRPr="00A37C1D">
              <w:rPr>
                <w:rFonts w:ascii="Calibri" w:hAnsi="Calibri" w:cs="Calibri"/>
                <w:lang w:val="en-US"/>
              </w:rPr>
              <w:t xml:space="preserve"> </w:t>
            </w:r>
            <w:proofErr w:type="spellStart"/>
            <w:r w:rsidRPr="00A37C1D">
              <w:rPr>
                <w:rFonts w:ascii="Calibri" w:hAnsi="Calibri" w:cs="Calibri"/>
                <w:lang w:val="en-US"/>
              </w:rPr>
              <w:t>პროექტის</w:t>
            </w:r>
            <w:proofErr w:type="spellEnd"/>
            <w:r w:rsidRPr="00A37C1D">
              <w:rPr>
                <w:rFonts w:ascii="Calibri" w:hAnsi="Calibri" w:cs="Calibri"/>
                <w:lang w:val="en-US"/>
              </w:rPr>
              <w:t xml:space="preserve"> </w:t>
            </w:r>
            <w:proofErr w:type="spellStart"/>
            <w:r w:rsidRPr="00A37C1D">
              <w:rPr>
                <w:rFonts w:ascii="Calibri" w:hAnsi="Calibri" w:cs="Calibri"/>
                <w:lang w:val="en-US"/>
              </w:rPr>
              <w:t>დაგეგმვის</w:t>
            </w:r>
            <w:proofErr w:type="spellEnd"/>
            <w:r w:rsidRPr="00A37C1D">
              <w:rPr>
                <w:rFonts w:ascii="Calibri" w:hAnsi="Calibri" w:cs="Calibri"/>
                <w:lang w:val="en-US"/>
              </w:rPr>
              <w:t xml:space="preserve"> </w:t>
            </w:r>
            <w:proofErr w:type="spellStart"/>
            <w:r w:rsidRPr="00A37C1D">
              <w:rPr>
                <w:rFonts w:ascii="Calibri" w:hAnsi="Calibri" w:cs="Calibri"/>
                <w:lang w:val="en-US"/>
              </w:rPr>
              <w:t>დონეზე</w:t>
            </w:r>
            <w:proofErr w:type="spellEnd"/>
            <w:r w:rsidRPr="00A37C1D">
              <w:rPr>
                <w:rFonts w:ascii="Calibri" w:hAnsi="Calibri" w:cs="Calibri"/>
                <w:lang w:val="en-US"/>
              </w:rPr>
              <w:t xml:space="preserve"> გზშ-</w:t>
            </w:r>
            <w:proofErr w:type="spellStart"/>
            <w:r w:rsidRPr="00A37C1D">
              <w:rPr>
                <w:rFonts w:ascii="Calibri" w:hAnsi="Calibri" w:cs="Calibri"/>
                <w:lang w:val="en-US"/>
              </w:rPr>
              <w:t>ის</w:t>
            </w:r>
            <w:proofErr w:type="spellEnd"/>
            <w:r w:rsidRPr="00A37C1D">
              <w:rPr>
                <w:rFonts w:ascii="Calibri" w:hAnsi="Calibri" w:cs="Calibri"/>
                <w:lang w:val="en-US"/>
              </w:rPr>
              <w:t xml:space="preserve"> </w:t>
            </w:r>
            <w:proofErr w:type="spellStart"/>
            <w:r w:rsidRPr="00A37C1D">
              <w:rPr>
                <w:rFonts w:ascii="Calibri" w:hAnsi="Calibri" w:cs="Calibri"/>
                <w:lang w:val="en-US"/>
              </w:rPr>
              <w:t>ფარგლებში</w:t>
            </w:r>
            <w:proofErr w:type="spellEnd"/>
            <w:r w:rsidRPr="00A37C1D">
              <w:rPr>
                <w:rFonts w:ascii="Calibri" w:hAnsi="Calibri" w:cs="Calibri"/>
                <w:lang w:val="en-US"/>
              </w:rPr>
              <w:t>.</w:t>
            </w:r>
          </w:p>
        </w:tc>
      </w:tr>
      <w:tr w:rsidR="004E4369" w:rsidRPr="00A37C1D" w14:paraId="2A0B074C" w14:textId="77777777" w:rsidTr="004D576A">
        <w:tc>
          <w:tcPr>
            <w:tcW w:w="562" w:type="dxa"/>
          </w:tcPr>
          <w:p w14:paraId="7AC91045" w14:textId="77777777" w:rsidR="004E4369" w:rsidRPr="00A37C1D" w:rsidRDefault="004E4369">
            <w:pPr>
              <w:pStyle w:val="ListParagraph"/>
              <w:numPr>
                <w:ilvl w:val="0"/>
                <w:numId w:val="7"/>
              </w:numPr>
              <w:rPr>
                <w:rFonts w:ascii="Calibri" w:hAnsi="Calibri" w:cs="Calibri"/>
              </w:rPr>
            </w:pPr>
          </w:p>
        </w:tc>
        <w:tc>
          <w:tcPr>
            <w:tcW w:w="5528" w:type="dxa"/>
          </w:tcPr>
          <w:p w14:paraId="4133736A" w14:textId="77777777" w:rsidR="004E4369" w:rsidRPr="00A37C1D" w:rsidRDefault="004E4369">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 xml:space="preserve">,,საქართველოს სახელმწიფოს ენერგეტიკული პოლიტიკის” მე-4 თავის-  ,,გარემოზე უარყოფითი ზემოქმედების შემცირება”   თანახმად,  ,,ენერგეტიკულ პროექტებზე გარემოსდაცვითი გადაწყვეტილებების მიღების პროცესში იკვეთება საზოგადოებრივი არასწორი ინფორმირებულობის და ცნობიერების მიკერძოების პრობლემა, რაც გამოწვეულია არასაკმარისი ინფორმირებულობით და გავრცელებული მცდარი ინფორმაციით; ენერგო პროექტების განვითარების დადებით მხარედ საზოგადოება მხოლოდ კერძო ინვესტორის კომერციულ მიზანს მიიჩნევს. ეს გარემოება უარყოფითად აისახება სახელმწიფოს და ინვესტორის ურთიერთობებზე მოსახლეობასთან, აზიანებს საინვესტიციო გარემოს, აფერხებს პროექტების განვითარებას და მოითხოვს სახელმწიფოს მხრიდან მეტ ყურადღებას საზოგადოების ინფორმირებულობის დონის ასამაღლებლად.“  გაცნობებთ,  ,,გარემოსდაცვითი შეფასების კოდექსი” არეგულირებს გადაწყვეტილების მიღების პროცესში საზოგადოების მონაწილეობასთან დაკავშირებულ საკითხებს გარემოზე ზემოქმედების შეფასების და სტრატეგიული გარემოსდაცვითი შეფასების პროცედურებისას, რა დროსაც უზრუნველყოფილია საზოგადოების ჩართულობა გარემოზე ზემოქმედების შეფასების შეძლებისდაგვარად ადრეულ ეტაპზე. ამასთან, გარემოს მოქმედებათა ეროვნულ პროგრამაში (2022-2026) ასახულია ,,გარემოსდაცვითი შეფასების კოდექსით” გათვალისწინებული გზშ და სგშ პროცედურების ფარგლებში, საზოგადოების მონაწილეობის მექანიზმების  გაუმჯობესებასა​ და დაინტერესებული მხარეების ჩართულობის გაზრდასთან დაკავშირებული გამოწვევები და </w:t>
            </w:r>
            <w:r w:rsidRPr="00A37C1D">
              <w:rPr>
                <w:rFonts w:ascii="Calibri" w:eastAsia="Arial Unicode MS" w:hAnsi="Calibri" w:cs="Calibri"/>
              </w:rPr>
              <w:lastRenderedPageBreak/>
              <w:t xml:space="preserve">შესაბამისი ამოცანები. ასევე, ენერგეტიკის პოლიტიკის დოკუმენტის თანახმად, ,,ცნობიერების ხარისხის გასაზრდელად, გათვალისწინებულია გზშ/სგშ ეტაპამდე საზოგადოებასთან წინასწარი საკომუნიკაციო პლატფორმის შექმნა, რათა საზოგადოება მომზადებული დახვდეს ცალკეული პროექტის განვითარებასთან დაკავშირებით ჩატარებული კვლევების განხილვის პროცესს. მნიშვნელოვანია, დაინტერესებულმა საზოგადოებამ მიიღოს ამომწურავი ინფორმაცია ცალკეული პროექტის მიზანშეწონილობასა და სარგებლიანობასთან დაკავშირებით”; დაზუსტებას საჭიროებს აღნიშნული წინასწარი საკომუნიკაციო პლატფორმის საკითხი, პასუხისმგებელი ორგანოს და შემუშავების სავარაუდო პერიოდის მითითებით, დამატებით გაცნობებთ, რომ  „გარემოსდაცვითი შეფასების კოდექსით“ გათვალისწინებული გადაწყვეტილებების მიღების პროცესში საზოგადოების ეფექტიანი ინფორმირებისა და მონაწილეობის მიზნით, გარემოს ეროვნული სააგენტოს მიერ სსიპ გარემოსდაცვითი ინფორმაციისა და განათლების ცენტრის ჩართულობით შეიქმნა გარემოსდაცვითი საინფორმაციო პორტალი (EI.GOV.GE); </w:t>
            </w:r>
          </w:p>
          <w:p w14:paraId="0E822360" w14:textId="77777777" w:rsidR="004E4369" w:rsidRPr="00A37C1D" w:rsidRDefault="004E4369">
            <w:pPr>
              <w:jc w:val="both"/>
              <w:rPr>
                <w:rFonts w:ascii="Calibri" w:eastAsia="Arial Unicode MS" w:hAnsi="Calibri" w:cs="Calibri"/>
              </w:rPr>
            </w:pPr>
          </w:p>
        </w:tc>
        <w:tc>
          <w:tcPr>
            <w:tcW w:w="8363" w:type="dxa"/>
          </w:tcPr>
          <w:p w14:paraId="1033B09C" w14:textId="0C81837C" w:rsidR="004E4369" w:rsidRPr="00A37C1D" w:rsidRDefault="00A05A03">
            <w:pPr>
              <w:jc w:val="both"/>
              <w:rPr>
                <w:rFonts w:ascii="Calibri" w:hAnsi="Calibri" w:cs="Calibri"/>
              </w:rPr>
            </w:pPr>
            <w:r w:rsidRPr="00A37C1D">
              <w:rPr>
                <w:rFonts w:ascii="Calibri" w:hAnsi="Calibri" w:cs="Calibri"/>
              </w:rPr>
              <w:lastRenderedPageBreak/>
              <w:t>ტექნიკური სახის შენიშვნაა</w:t>
            </w:r>
            <w:r w:rsidR="003E2EFF" w:rsidRPr="00A37C1D">
              <w:rPr>
                <w:rFonts w:ascii="Calibri" w:hAnsi="Calibri" w:cs="Calibri"/>
              </w:rPr>
              <w:t xml:space="preserve"> პოლიტიკის დოკუმენტში</w:t>
            </w:r>
            <w:r w:rsidRPr="00A37C1D">
              <w:rPr>
                <w:rFonts w:ascii="Calibri" w:hAnsi="Calibri" w:cs="Calibri"/>
              </w:rPr>
              <w:t>, რომელიც გათვალისწინებული იქნება დოკუმენტის საბოლოო ვერსიაში.</w:t>
            </w:r>
          </w:p>
        </w:tc>
      </w:tr>
      <w:tr w:rsidR="004F5F40" w:rsidRPr="00A37C1D" w14:paraId="763EE276" w14:textId="77777777" w:rsidTr="004D576A">
        <w:tc>
          <w:tcPr>
            <w:tcW w:w="14453" w:type="dxa"/>
            <w:gridSpan w:val="3"/>
            <w:shd w:val="clear" w:color="auto" w:fill="B4C6E7" w:themeFill="accent1" w:themeFillTint="66"/>
          </w:tcPr>
          <w:p w14:paraId="27E423D1" w14:textId="3D9D3CA0" w:rsidR="004F5F40" w:rsidRPr="00A37C1D" w:rsidRDefault="007B17A5">
            <w:pPr>
              <w:pStyle w:val="CommentText"/>
              <w:jc w:val="both"/>
              <w:rPr>
                <w:b/>
                <w:sz w:val="22"/>
                <w:szCs w:val="22"/>
              </w:rPr>
            </w:pPr>
            <w:r w:rsidRPr="00A37C1D">
              <w:rPr>
                <w:b/>
                <w:sz w:val="22"/>
                <w:szCs w:val="22"/>
              </w:rPr>
              <w:t>ტექნიკური სახის ხარვეზები ენერგეტიკისა და კლიმატის ეროვნულ ინტეგრირებულ გეგმასა (</w:t>
            </w:r>
            <w:r w:rsidRPr="00A37C1D">
              <w:rPr>
                <w:b/>
                <w:sz w:val="22"/>
                <w:szCs w:val="22"/>
                <w:lang w:val="en-US"/>
              </w:rPr>
              <w:t xml:space="preserve">NECP) </w:t>
            </w:r>
            <w:r w:rsidRPr="00A37C1D">
              <w:rPr>
                <w:b/>
                <w:sz w:val="22"/>
                <w:szCs w:val="22"/>
              </w:rPr>
              <w:t>და სგშ-ზე</w:t>
            </w:r>
          </w:p>
        </w:tc>
      </w:tr>
      <w:tr w:rsidR="00013E96" w:rsidRPr="00A37C1D" w14:paraId="28D6FB05" w14:textId="77777777" w:rsidTr="00013E96">
        <w:tc>
          <w:tcPr>
            <w:tcW w:w="562" w:type="dxa"/>
          </w:tcPr>
          <w:p w14:paraId="28DF0144" w14:textId="77777777" w:rsidR="00013E96" w:rsidRPr="00A37C1D" w:rsidRDefault="00013E96" w:rsidP="00013E96">
            <w:pPr>
              <w:pStyle w:val="ListParagraph"/>
              <w:numPr>
                <w:ilvl w:val="0"/>
                <w:numId w:val="7"/>
              </w:numPr>
              <w:rPr>
                <w:rFonts w:ascii="Calibri" w:hAnsi="Calibri" w:cs="Calibri"/>
              </w:rPr>
            </w:pPr>
          </w:p>
        </w:tc>
        <w:tc>
          <w:tcPr>
            <w:tcW w:w="5528" w:type="dxa"/>
          </w:tcPr>
          <w:p w14:paraId="0E404963" w14:textId="2F879323" w:rsidR="00013E96" w:rsidRPr="00A37C1D" w:rsidRDefault="00013E96" w:rsidP="00013E96">
            <w:pPr>
              <w:pBdr>
                <w:top w:val="nil"/>
                <w:left w:val="nil"/>
                <w:bottom w:val="nil"/>
                <w:right w:val="nil"/>
                <w:between w:val="nil"/>
              </w:pBdr>
              <w:jc w:val="both"/>
              <w:rPr>
                <w:rFonts w:ascii="Calibri" w:eastAsia="Arial Unicode MS" w:hAnsi="Calibri" w:cs="Calibri"/>
              </w:rPr>
            </w:pPr>
            <w:r w:rsidRPr="00A37C1D">
              <w:rPr>
                <w:rFonts w:ascii="Calibri" w:hAnsi="Calibri" w:cs="Calibri"/>
              </w:rPr>
              <w:t xml:space="preserve"> წარმოდგენილ დოკუმენტაციაში მითითებული მზის ელექტროსადგურების შესახებ ინფორმაცია სრულად არ ემთხვევა Shp ფაილებში წარმოდგენილ სივრცით მონაცემებს. საჭიროა, წარმოდგენილ იქნეს მზის ელექტროსადგურების შესახებ განახლებული სივრცითი მონაცემები, შესაბამისი ატრიბუტული ცხრილით;</w:t>
            </w:r>
          </w:p>
        </w:tc>
        <w:tc>
          <w:tcPr>
            <w:tcW w:w="8363" w:type="dxa"/>
          </w:tcPr>
          <w:p w14:paraId="534C1539" w14:textId="7DF11456" w:rsidR="00013E96" w:rsidRPr="00A37C1D" w:rsidRDefault="00576A10" w:rsidP="00013E96">
            <w:pPr>
              <w:pStyle w:val="CommentText"/>
              <w:jc w:val="both"/>
              <w:rPr>
                <w:rFonts w:eastAsia="Arial Unicode MS"/>
              </w:rPr>
            </w:pPr>
            <w:r w:rsidRPr="00A37C1D">
              <w:rPr>
                <w:rFonts w:eastAsia="Arial Unicode MS"/>
              </w:rPr>
              <w:t>საპასუხო წერილთან ერთად წარმოგიდგენთ მზის ელექტროსადგურის სივრცით ფაილებს.</w:t>
            </w:r>
          </w:p>
        </w:tc>
      </w:tr>
      <w:tr w:rsidR="007C73A0" w:rsidRPr="00A37C1D" w14:paraId="5B6E6663" w14:textId="77777777" w:rsidTr="004D576A">
        <w:tc>
          <w:tcPr>
            <w:tcW w:w="562" w:type="dxa"/>
          </w:tcPr>
          <w:p w14:paraId="792547DA" w14:textId="77777777" w:rsidR="007C73A0" w:rsidRPr="00A37C1D" w:rsidRDefault="007C73A0">
            <w:pPr>
              <w:pStyle w:val="ListParagraph"/>
              <w:numPr>
                <w:ilvl w:val="0"/>
                <w:numId w:val="7"/>
              </w:numPr>
              <w:rPr>
                <w:rFonts w:ascii="Calibri" w:hAnsi="Calibri" w:cs="Calibri"/>
              </w:rPr>
            </w:pPr>
          </w:p>
        </w:tc>
        <w:tc>
          <w:tcPr>
            <w:tcW w:w="5528" w:type="dxa"/>
          </w:tcPr>
          <w:p w14:paraId="26426D1C" w14:textId="31672C56" w:rsidR="007C73A0" w:rsidRPr="00A37C1D" w:rsidRDefault="00790225">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გვ: 42 - ტყეებს საქართველოს ტერიტორიის დაახლოებით 40% უკავია. საქართველოს ტყის ეროვნული აღრიცხვის განახლებული მონაცემების მიხედვით, ტყეებს ქვეყნის ტერიტორიის 44.5% უკავია (3 100 500 ჰა).</w:t>
            </w:r>
          </w:p>
        </w:tc>
        <w:tc>
          <w:tcPr>
            <w:tcW w:w="8363" w:type="dxa"/>
          </w:tcPr>
          <w:p w14:paraId="5D6088D6" w14:textId="1EA7D9DD" w:rsidR="007C73A0" w:rsidRPr="00A37C1D" w:rsidRDefault="00AA7C28">
            <w:pPr>
              <w:pStyle w:val="CommentText"/>
              <w:jc w:val="both"/>
              <w:rPr>
                <w:sz w:val="22"/>
                <w:szCs w:val="22"/>
              </w:rPr>
            </w:pPr>
            <w:r w:rsidRPr="00A37C1D">
              <w:rPr>
                <w:rFonts w:eastAsia="Arial Unicode MS"/>
              </w:rPr>
              <w:t xml:space="preserve">გათვალისწინებულია, თუმცა </w:t>
            </w:r>
            <w:proofErr w:type="spellStart"/>
            <w:r w:rsidRPr="00A37C1D">
              <w:rPr>
                <w:rFonts w:eastAsia="Arial Unicode MS"/>
              </w:rPr>
              <w:t>აღსანაიშნავია</w:t>
            </w:r>
            <w:proofErr w:type="spellEnd"/>
            <w:r w:rsidRPr="00A37C1D">
              <w:rPr>
                <w:rFonts w:eastAsia="Arial Unicode MS"/>
              </w:rPr>
              <w:t>, რ</w:t>
            </w:r>
            <w:r w:rsidR="00C20705" w:rsidRPr="00A37C1D">
              <w:rPr>
                <w:rFonts w:eastAsia="Arial Unicode MS"/>
              </w:rPr>
              <w:t>ო</w:t>
            </w:r>
            <w:r w:rsidRPr="00A37C1D">
              <w:rPr>
                <w:rFonts w:eastAsia="Arial Unicode MS"/>
              </w:rPr>
              <w:t xml:space="preserve">მ საქართველოს ტყის ეროვნული აღრიცხვის განახლებული მონაცემები ხელმისაწვდომი გახდა სგშ-ის ანგარიშის მომზადებისა და ოფიციალურად წარდგენის შემდეგ. </w:t>
            </w:r>
          </w:p>
        </w:tc>
      </w:tr>
      <w:tr w:rsidR="007C73A0" w:rsidRPr="00A37C1D" w14:paraId="7D41CB3C" w14:textId="77777777" w:rsidTr="004D576A">
        <w:tc>
          <w:tcPr>
            <w:tcW w:w="562" w:type="dxa"/>
          </w:tcPr>
          <w:p w14:paraId="6CC16C61" w14:textId="77777777" w:rsidR="007C73A0" w:rsidRPr="00A37C1D" w:rsidRDefault="007C73A0">
            <w:pPr>
              <w:pStyle w:val="ListParagraph"/>
              <w:numPr>
                <w:ilvl w:val="0"/>
                <w:numId w:val="7"/>
              </w:numPr>
              <w:rPr>
                <w:rFonts w:ascii="Calibri" w:hAnsi="Calibri" w:cs="Calibri"/>
              </w:rPr>
            </w:pPr>
          </w:p>
        </w:tc>
        <w:tc>
          <w:tcPr>
            <w:tcW w:w="5528" w:type="dxa"/>
          </w:tcPr>
          <w:p w14:paraId="5367C451" w14:textId="5E94EAB9" w:rsidR="007C73A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გვ: 43  - ჩანაწერიდან ამოღებული იყოს ტერმინი ტყის რესურსის გამოყენება - ხსენებული ტერმინი არსებითად არ ნიშნავს მის დეგრადაციას. საჭიროა მისი გონივრული გამოყენება და ჩანაწერი უნდა შეიცვალოს ტყის სოციალური მიზნით გამოყენებით.</w:t>
            </w:r>
          </w:p>
        </w:tc>
        <w:tc>
          <w:tcPr>
            <w:tcW w:w="8363" w:type="dxa"/>
          </w:tcPr>
          <w:p w14:paraId="4EE333A9" w14:textId="1DC7CD2A" w:rsidR="007C73A0" w:rsidRPr="00A37C1D" w:rsidRDefault="00A16A9F">
            <w:pPr>
              <w:pStyle w:val="CommentText"/>
              <w:jc w:val="both"/>
              <w:rPr>
                <w:sz w:val="22"/>
                <w:szCs w:val="22"/>
              </w:rPr>
            </w:pPr>
            <w:r w:rsidRPr="00A37C1D">
              <w:rPr>
                <w:sz w:val="22"/>
                <w:szCs w:val="22"/>
              </w:rPr>
              <w:t xml:space="preserve">გათვალისწინებულია </w:t>
            </w:r>
          </w:p>
        </w:tc>
      </w:tr>
      <w:tr w:rsidR="007C73A0" w:rsidRPr="00A37C1D" w14:paraId="3CAA2774" w14:textId="77777777" w:rsidTr="004D576A">
        <w:tc>
          <w:tcPr>
            <w:tcW w:w="562" w:type="dxa"/>
          </w:tcPr>
          <w:p w14:paraId="2FCFA57B" w14:textId="77777777" w:rsidR="007C73A0" w:rsidRPr="00A37C1D" w:rsidRDefault="007C73A0">
            <w:pPr>
              <w:pStyle w:val="ListParagraph"/>
              <w:numPr>
                <w:ilvl w:val="0"/>
                <w:numId w:val="7"/>
              </w:numPr>
              <w:rPr>
                <w:rFonts w:ascii="Calibri" w:hAnsi="Calibri" w:cs="Calibri"/>
              </w:rPr>
            </w:pPr>
          </w:p>
        </w:tc>
        <w:tc>
          <w:tcPr>
            <w:tcW w:w="5528" w:type="dxa"/>
          </w:tcPr>
          <w:p w14:paraId="4C0C2CEF" w14:textId="21582418" w:rsidR="007C73A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გვ: 46 - საქართველოს „წითელ ნუსხაში“ შეტანილია ცხოველთა 135 და მერქნოვან მცენარეთა 56 სახეობაა, მიზანშეწონილია „მერქნოვან მცენარეთა“ ნაცვლად ჩაიწეროს „მცენარე“.</w:t>
            </w:r>
          </w:p>
        </w:tc>
        <w:tc>
          <w:tcPr>
            <w:tcW w:w="8363" w:type="dxa"/>
          </w:tcPr>
          <w:p w14:paraId="0A24B115" w14:textId="46890C1E" w:rsidR="007C73A0" w:rsidRPr="00A37C1D" w:rsidRDefault="00A16A9F">
            <w:pPr>
              <w:pStyle w:val="CommentText"/>
              <w:jc w:val="both"/>
              <w:rPr>
                <w:sz w:val="22"/>
                <w:szCs w:val="22"/>
              </w:rPr>
            </w:pPr>
            <w:r w:rsidRPr="00A37C1D">
              <w:rPr>
                <w:sz w:val="22"/>
                <w:szCs w:val="22"/>
              </w:rPr>
              <w:t>გათვალისწინებულია</w:t>
            </w:r>
          </w:p>
        </w:tc>
      </w:tr>
      <w:tr w:rsidR="007C73A0" w:rsidRPr="00A37C1D" w14:paraId="1170FED2" w14:textId="77777777" w:rsidTr="004D576A">
        <w:tc>
          <w:tcPr>
            <w:tcW w:w="562" w:type="dxa"/>
          </w:tcPr>
          <w:p w14:paraId="552F8575" w14:textId="77777777" w:rsidR="007C73A0" w:rsidRPr="00A37C1D" w:rsidRDefault="007C73A0">
            <w:pPr>
              <w:pStyle w:val="ListParagraph"/>
              <w:numPr>
                <w:ilvl w:val="0"/>
                <w:numId w:val="7"/>
              </w:numPr>
              <w:rPr>
                <w:rFonts w:ascii="Calibri" w:hAnsi="Calibri" w:cs="Calibri"/>
              </w:rPr>
            </w:pPr>
          </w:p>
        </w:tc>
        <w:tc>
          <w:tcPr>
            <w:tcW w:w="5528" w:type="dxa"/>
          </w:tcPr>
          <w:p w14:paraId="71BE3E36" w14:textId="20D2916B" w:rsidR="004F5F4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 xml:space="preserve">გვ: 47 - საქართველოში გავრცელებული 200-ზე მეტი სახეობა მოცულია ევროპის ველური ბუნებისა და ბუნებრივი ჰაბიტატების დაცვის კონსერვაციის კონვენციის მუდმივმოქმედი საბჭოს მიერ მიღებულ #6 რეზოლუციაში. </w:t>
            </w:r>
          </w:p>
          <w:p w14:paraId="49217DCD" w14:textId="77777777" w:rsidR="004F5F40" w:rsidRPr="00A37C1D" w:rsidRDefault="004F5F40">
            <w:pPr>
              <w:pBdr>
                <w:top w:val="nil"/>
                <w:left w:val="nil"/>
                <w:bottom w:val="nil"/>
                <w:right w:val="nil"/>
                <w:between w:val="nil"/>
              </w:pBdr>
              <w:jc w:val="both"/>
              <w:rPr>
                <w:rFonts w:ascii="Calibri" w:eastAsia="Arial Unicode MS" w:hAnsi="Calibri" w:cs="Calibri"/>
              </w:rPr>
            </w:pPr>
          </w:p>
          <w:p w14:paraId="1B1FBFC9" w14:textId="2A6582C6" w:rsidR="007C73A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აღნიშნული ჩანაწერი საჭიროა დაკორექტირდეს შემდეგნაირად: საქართველოში გავრცელებული 200-ზე მეტი სახეობა მოცულია ევროპის ველური ბუნებისა და ბუნებრივი ჰაბიტატების დაცვის შესახებ კონვენციის მუდმივმოქმედი საბჭოს მიერ მიღებულ #6 რეზოლუციაში.</w:t>
            </w:r>
          </w:p>
        </w:tc>
        <w:tc>
          <w:tcPr>
            <w:tcW w:w="8363" w:type="dxa"/>
          </w:tcPr>
          <w:p w14:paraId="2C0D332D" w14:textId="77EEA180" w:rsidR="007C73A0" w:rsidRPr="00A37C1D" w:rsidRDefault="00776AFB">
            <w:pPr>
              <w:pStyle w:val="CommentText"/>
              <w:jc w:val="both"/>
              <w:rPr>
                <w:sz w:val="22"/>
                <w:szCs w:val="22"/>
              </w:rPr>
            </w:pPr>
            <w:r w:rsidRPr="00A37C1D">
              <w:rPr>
                <w:sz w:val="22"/>
                <w:szCs w:val="22"/>
              </w:rPr>
              <w:t>გათვალისწინებულია</w:t>
            </w:r>
          </w:p>
        </w:tc>
      </w:tr>
      <w:tr w:rsidR="007C73A0" w:rsidRPr="00A37C1D" w14:paraId="24C0A34B" w14:textId="77777777" w:rsidTr="004D576A">
        <w:tc>
          <w:tcPr>
            <w:tcW w:w="562" w:type="dxa"/>
          </w:tcPr>
          <w:p w14:paraId="3292BC2C" w14:textId="77777777" w:rsidR="007C73A0" w:rsidRPr="00A37C1D" w:rsidRDefault="007C73A0">
            <w:pPr>
              <w:pStyle w:val="ListParagraph"/>
              <w:numPr>
                <w:ilvl w:val="0"/>
                <w:numId w:val="7"/>
              </w:numPr>
              <w:rPr>
                <w:rFonts w:ascii="Calibri" w:hAnsi="Calibri" w:cs="Calibri"/>
              </w:rPr>
            </w:pPr>
          </w:p>
        </w:tc>
        <w:tc>
          <w:tcPr>
            <w:tcW w:w="5528" w:type="dxa"/>
          </w:tcPr>
          <w:p w14:paraId="4906662F" w14:textId="77777777" w:rsidR="007C73A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 xml:space="preserve">გვ:47 - ტყეები, ხე-ტყის არამდგრადი მეთოდებით მოპოვების, პირუტყვის ჭარბი ძოვების და აგრეთვე მართვის არასწორი პრაქტიკის გამო, ძლიერი ზეწოლის ქვეშ იმყოფებიან. პირუტყვის ჭარბი ან არაორგანიზებული ძოვების გამო საფრთხის ქვეშაა საქართველოს ზაფხულისა და ზამთრის საძოვრები. </w:t>
            </w:r>
          </w:p>
          <w:p w14:paraId="158AE5D3" w14:textId="77777777" w:rsidR="00776AFB" w:rsidRPr="00A37C1D" w:rsidRDefault="00776AFB">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lastRenderedPageBreak/>
              <w:t>აღნიშული ჩანაწერი საჭიროა დაკორექტირდეს შემდეგნაირად: ტყეები, ხე-ტყის არამდგრადი მეთოდებით მოპოვების, პირუტყვის ჭარბი ძოვების, უკანონო ჭრების და აგრეთვე მართვის არასწორი პრაქტიკის გამო, ძლიერი ზეწოლის ქვეშ იმყოფებიან. პირუტყვის ჭარბი ან არამდგრადი ძოვების გამო საფრთხის ქვეშაა საქართველოს ზაფხულისა და ზამთრის საძოვრები.</w:t>
            </w:r>
          </w:p>
          <w:p w14:paraId="4249A087" w14:textId="34588F46" w:rsidR="00776AFB" w:rsidRPr="00A37C1D" w:rsidRDefault="00776AFB">
            <w:pPr>
              <w:pBdr>
                <w:top w:val="nil"/>
                <w:left w:val="nil"/>
                <w:bottom w:val="nil"/>
                <w:right w:val="nil"/>
                <w:between w:val="nil"/>
              </w:pBdr>
              <w:jc w:val="both"/>
              <w:rPr>
                <w:rFonts w:ascii="Calibri" w:eastAsia="Arial Unicode MS" w:hAnsi="Calibri" w:cs="Calibri"/>
              </w:rPr>
            </w:pPr>
          </w:p>
        </w:tc>
        <w:tc>
          <w:tcPr>
            <w:tcW w:w="8363" w:type="dxa"/>
          </w:tcPr>
          <w:p w14:paraId="1DA02BE5" w14:textId="408BFE43" w:rsidR="007C73A0" w:rsidRPr="00A37C1D" w:rsidRDefault="00654FE2">
            <w:pPr>
              <w:pStyle w:val="CommentText"/>
              <w:jc w:val="both"/>
              <w:rPr>
                <w:sz w:val="22"/>
                <w:szCs w:val="22"/>
              </w:rPr>
            </w:pPr>
            <w:r w:rsidRPr="00A37C1D">
              <w:rPr>
                <w:sz w:val="22"/>
                <w:szCs w:val="22"/>
              </w:rPr>
              <w:lastRenderedPageBreak/>
              <w:t>გათვალისწინებულია</w:t>
            </w:r>
          </w:p>
        </w:tc>
      </w:tr>
      <w:tr w:rsidR="007C73A0" w:rsidRPr="00A37C1D" w14:paraId="32AAC69C" w14:textId="77777777" w:rsidTr="004D576A">
        <w:tc>
          <w:tcPr>
            <w:tcW w:w="562" w:type="dxa"/>
          </w:tcPr>
          <w:p w14:paraId="09126A4B" w14:textId="77777777" w:rsidR="007C73A0" w:rsidRPr="00A37C1D" w:rsidRDefault="007C73A0">
            <w:pPr>
              <w:pStyle w:val="ListParagraph"/>
              <w:numPr>
                <w:ilvl w:val="0"/>
                <w:numId w:val="7"/>
              </w:numPr>
              <w:rPr>
                <w:rFonts w:ascii="Calibri" w:hAnsi="Calibri" w:cs="Calibri"/>
              </w:rPr>
            </w:pPr>
          </w:p>
        </w:tc>
        <w:tc>
          <w:tcPr>
            <w:tcW w:w="5528" w:type="dxa"/>
          </w:tcPr>
          <w:p w14:paraId="788094AD" w14:textId="76C80740" w:rsidR="004F5F4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 xml:space="preserve">გვ:48 - საქართველოს დაცული ტერიტორიების არსებული სისტემის ფარგლებს გარეთ ბიომრავალფეროვნების ბევრი საკვანძო ადგილია (KBA). ესენია: ბიოლოგიური დერეფნები, ცხოველთა მიგრაციის დერეფნები, მცენარეებისთვის მნიშვნელოვანი ტერიტორიები (IPA), ფრინველებისა და ბიომრავალფეროვნებისთვის მნიშვნელოვანი ტერიტორიები (IBA), და სხვ. ბიომრავალფეროვნების საკვანძო ადგილები (KBA) გამოვლინდა საქართველოში „კავკასიის ეკორეგიონული კონსერვაციის გეგმის“ შემუშავების პროცესში, რომელიც განხორციელდა WWF-ის კავკასიის პროგრამის ოფისის ხელმძღვანელობით, სულ ეკორეგიონში გამოვლენილია 231 KBA. KBA-ების საერთო ფართობია 130,113 კმ2, ეკორეგიონის მთელი ტერიტორიის დაახლოებით 22,2%. საქართველოში წარმოდგენილია 60 KBA, ფართობით 21,335 კმ2, აქედან 6,616 კმ2 მოქცეულია სხვადასხვა კატეგორიის დაცულ ტერიტორიებში, მათ შორის 5.7% ნაკრძალებში (IUCN-ის დაცული ტერიტორიების I კატეგორია). </w:t>
            </w:r>
          </w:p>
          <w:p w14:paraId="72CB0C7F" w14:textId="77777777" w:rsidR="004F5F40" w:rsidRPr="00A37C1D" w:rsidRDefault="004F5F40">
            <w:pPr>
              <w:pBdr>
                <w:top w:val="nil"/>
                <w:left w:val="nil"/>
                <w:bottom w:val="nil"/>
                <w:right w:val="nil"/>
                <w:between w:val="nil"/>
              </w:pBdr>
              <w:jc w:val="both"/>
              <w:rPr>
                <w:rFonts w:ascii="Calibri" w:eastAsia="Arial Unicode MS" w:hAnsi="Calibri" w:cs="Calibri"/>
              </w:rPr>
            </w:pPr>
          </w:p>
          <w:p w14:paraId="22846ADB" w14:textId="77D49D1E" w:rsidR="007C73A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 xml:space="preserve">აღნიშნული ჩანაწერი მიზანშეწონილია ჩასწორდეს შემდეგნაირად: საქართველოს დაცული ტერიტორიების არსებული სისტემის ფარგლებს </w:t>
            </w:r>
            <w:r w:rsidRPr="00A37C1D">
              <w:rPr>
                <w:rFonts w:ascii="Calibri" w:eastAsia="Arial Unicode MS" w:hAnsi="Calibri" w:cs="Calibri"/>
              </w:rPr>
              <w:lastRenderedPageBreak/>
              <w:t>გარეთ ბიომრავალფეროვნების ბევრი საკვანძო ადგილია (KBA). ესენია: ეკოლოგიური დერეფნები, ცხოველთა მიგრაციის დერეფნები, მცენარეებისთვის მნიშვნელოვანი ტერიტორიები (IPA), ფრინველებისა და ბიომრავალფეროვნებისთვის მნიშვნელოვანი ტერიტორიები (IBA), და სხვ. ბიომრავალფეროვნების საკვანძო ადგილები (KBA) გამოვლინდა საქართველოში „კავკასიის ეკორეგიონული კონსერვაციის გეგმის“ შემუშავების პროცესში, რომელიც განხორციელდა WWF-ის კავკასიის პროგრამის ოფისის ხელმძღვანელობით, სულ ეკორეგიონში გამოვლენილია 231 KBA. KBA-ების საერთო ფართობია 130,113 კმ2, ეკორეგიონის მთელი ტერიტორიის დაახლოებით 22,2%. საქართველოში წარმოდგენილია 60 KBA, ფართობით 21,335 კმ2, აქედან 6,616 კმ2 მოქცეულია სხვადასხვა კატეგორიის დაცულ ტერიტორიებში, მათ შორის 5.7% ნაკრძალებში (IUCN-ის დაცული ტერიტორიების I კატეგორია). ასევე, მიზანშეწონილია აღნიშნულ ჩანაწერს დაემატოს ინფორმაცია ბიომრავალფეროვნების საკვანძო ადგილებიდან (KBA) რამდენი ემთხვევა ზურმუხტის ქსელს და ასევე დაცული ტერიტორიების სხვა კატეგორიებს.</w:t>
            </w:r>
          </w:p>
        </w:tc>
        <w:tc>
          <w:tcPr>
            <w:tcW w:w="8363" w:type="dxa"/>
          </w:tcPr>
          <w:p w14:paraId="4D042275" w14:textId="285DB73F" w:rsidR="007C73A0" w:rsidRPr="00A37C1D" w:rsidRDefault="00183C34">
            <w:pPr>
              <w:pStyle w:val="CommentText"/>
              <w:jc w:val="both"/>
              <w:rPr>
                <w:sz w:val="22"/>
                <w:szCs w:val="22"/>
              </w:rPr>
            </w:pPr>
            <w:r w:rsidRPr="00A37C1D">
              <w:rPr>
                <w:sz w:val="22"/>
                <w:szCs w:val="22"/>
              </w:rPr>
              <w:lastRenderedPageBreak/>
              <w:t xml:space="preserve">გათვალისწინებულია </w:t>
            </w:r>
          </w:p>
        </w:tc>
      </w:tr>
      <w:tr w:rsidR="007C73A0" w:rsidRPr="00A37C1D" w14:paraId="3AF9D7D1" w14:textId="77777777" w:rsidTr="004D576A">
        <w:tc>
          <w:tcPr>
            <w:tcW w:w="562" w:type="dxa"/>
          </w:tcPr>
          <w:p w14:paraId="26D85F4A" w14:textId="77777777" w:rsidR="007C73A0" w:rsidRPr="00A37C1D" w:rsidRDefault="007C73A0">
            <w:pPr>
              <w:pStyle w:val="ListParagraph"/>
              <w:numPr>
                <w:ilvl w:val="0"/>
                <w:numId w:val="7"/>
              </w:numPr>
              <w:rPr>
                <w:rFonts w:ascii="Calibri" w:hAnsi="Calibri" w:cs="Calibri"/>
              </w:rPr>
            </w:pPr>
          </w:p>
        </w:tc>
        <w:tc>
          <w:tcPr>
            <w:tcW w:w="5528" w:type="dxa"/>
          </w:tcPr>
          <w:p w14:paraId="55CC5886" w14:textId="6DA72D06" w:rsidR="007C73A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გვ: 50 - საქართველოს ეროვნული სატყეო კონცეფცია 2014, საჭიროა ჩანაწერი ჩასწორდეს შემდეგი სახით: საქართველოს ეროვნული სატყეო კონცეფცია 2013.</w:t>
            </w:r>
          </w:p>
        </w:tc>
        <w:tc>
          <w:tcPr>
            <w:tcW w:w="8363" w:type="dxa"/>
          </w:tcPr>
          <w:p w14:paraId="1B6CE0D4" w14:textId="2E8E6C93" w:rsidR="007C73A0" w:rsidRPr="00A37C1D" w:rsidRDefault="00654FE2">
            <w:pPr>
              <w:pStyle w:val="CommentText"/>
              <w:jc w:val="both"/>
              <w:rPr>
                <w:sz w:val="22"/>
                <w:szCs w:val="22"/>
              </w:rPr>
            </w:pPr>
            <w:r w:rsidRPr="00A37C1D">
              <w:rPr>
                <w:sz w:val="22"/>
                <w:szCs w:val="22"/>
              </w:rPr>
              <w:t>გათვალისწინებულია</w:t>
            </w:r>
          </w:p>
        </w:tc>
      </w:tr>
      <w:tr w:rsidR="004F5F40" w:rsidRPr="00A37C1D" w14:paraId="61ECE3CB" w14:textId="77777777" w:rsidTr="004D576A">
        <w:tc>
          <w:tcPr>
            <w:tcW w:w="562" w:type="dxa"/>
          </w:tcPr>
          <w:p w14:paraId="68628524" w14:textId="77777777" w:rsidR="004F5F40" w:rsidRPr="00A37C1D" w:rsidRDefault="004F5F40">
            <w:pPr>
              <w:pStyle w:val="ListParagraph"/>
              <w:numPr>
                <w:ilvl w:val="0"/>
                <w:numId w:val="7"/>
              </w:numPr>
              <w:rPr>
                <w:rFonts w:ascii="Calibri" w:hAnsi="Calibri" w:cs="Calibri"/>
              </w:rPr>
            </w:pPr>
          </w:p>
        </w:tc>
        <w:tc>
          <w:tcPr>
            <w:tcW w:w="5528" w:type="dxa"/>
          </w:tcPr>
          <w:p w14:paraId="269A97DD" w14:textId="248FB2F9" w:rsidR="004F5F4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გვ:56-ზე საჭიროა შესწორდეს ინფორმაცია, საქართველოს ტყის ეროვნული აღრიცხვის მონაცემების შესაბამისად, ტყეებს ქვეყნის ტერიტორიის 44.5% უკავია (3 100 500 ჰა). ხოლო განახლებული მონაცემების მიხედვით საქართველოს ტყეების 98.5% ბუნებრივი წარმოშობისაა.</w:t>
            </w:r>
          </w:p>
        </w:tc>
        <w:tc>
          <w:tcPr>
            <w:tcW w:w="8363" w:type="dxa"/>
          </w:tcPr>
          <w:p w14:paraId="13C0AE56" w14:textId="194589CE" w:rsidR="004F5F40" w:rsidRPr="00A37C1D" w:rsidRDefault="00654FE2">
            <w:pPr>
              <w:pStyle w:val="CommentText"/>
              <w:jc w:val="both"/>
              <w:rPr>
                <w:sz w:val="22"/>
                <w:szCs w:val="22"/>
              </w:rPr>
            </w:pPr>
            <w:r w:rsidRPr="00A37C1D">
              <w:rPr>
                <w:sz w:val="22"/>
                <w:szCs w:val="22"/>
              </w:rPr>
              <w:t>გათვალისწინებულია</w:t>
            </w:r>
          </w:p>
        </w:tc>
      </w:tr>
      <w:tr w:rsidR="004F5F40" w:rsidRPr="00A37C1D" w14:paraId="05889692" w14:textId="77777777" w:rsidTr="004D576A">
        <w:tc>
          <w:tcPr>
            <w:tcW w:w="562" w:type="dxa"/>
          </w:tcPr>
          <w:p w14:paraId="57EBD8AF" w14:textId="77777777" w:rsidR="004F5F40" w:rsidRPr="00A37C1D" w:rsidRDefault="004F5F40">
            <w:pPr>
              <w:pStyle w:val="ListParagraph"/>
              <w:numPr>
                <w:ilvl w:val="0"/>
                <w:numId w:val="7"/>
              </w:numPr>
              <w:rPr>
                <w:rFonts w:ascii="Calibri" w:hAnsi="Calibri" w:cs="Calibri"/>
              </w:rPr>
            </w:pPr>
          </w:p>
        </w:tc>
        <w:tc>
          <w:tcPr>
            <w:tcW w:w="5528" w:type="dxa"/>
          </w:tcPr>
          <w:p w14:paraId="0DE487AC" w14:textId="2D0361C8" w:rsidR="004F5F4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გვ:56 - საქართველოს სათიბები და საძოვრები ბუნებრივი და ნახევრად ბუნებრივი ჰაბიტატებია, რომლებიც საჭიროებენ მდგრად მართვას მათი დეგრადაციის თავიდან ასაცილებლად, განსაკუთრებით დაცულ ლანდშაფტებზე, როგორიცაა თუშეთი, არაგვი და თრუსო. საჭიროა ზემოაღნიშნულ ჩანაწერს დაემატოს ტანისა და თეძამის დაცული ლანდშაფტი, რადგან ტანას ხეობაში, განსაკუთრებით ქარელის საზღვართან მდებარეობს სათიბ-საძოვრები, რომელსაც მოსახლეობა აქტიურად იყენებს.</w:t>
            </w:r>
          </w:p>
        </w:tc>
        <w:tc>
          <w:tcPr>
            <w:tcW w:w="8363" w:type="dxa"/>
          </w:tcPr>
          <w:p w14:paraId="133579A6" w14:textId="1810D344" w:rsidR="004F5F40" w:rsidRPr="00A37C1D" w:rsidRDefault="00654FE2">
            <w:pPr>
              <w:pStyle w:val="CommentText"/>
              <w:jc w:val="both"/>
              <w:rPr>
                <w:sz w:val="22"/>
                <w:szCs w:val="22"/>
              </w:rPr>
            </w:pPr>
            <w:r w:rsidRPr="00A37C1D">
              <w:rPr>
                <w:sz w:val="22"/>
                <w:szCs w:val="22"/>
              </w:rPr>
              <w:t>გათვალისწინებულია</w:t>
            </w:r>
            <w:r w:rsidR="005B4C4B" w:rsidRPr="00A37C1D">
              <w:rPr>
                <w:sz w:val="22"/>
                <w:szCs w:val="22"/>
              </w:rPr>
              <w:t xml:space="preserve"> (კანონის მიხედვით</w:t>
            </w:r>
            <w:r w:rsidR="00F94155" w:rsidRPr="00A37C1D">
              <w:rPr>
                <w:sz w:val="22"/>
                <w:szCs w:val="22"/>
              </w:rPr>
              <w:t>,</w:t>
            </w:r>
            <w:r w:rsidR="005B4C4B" w:rsidRPr="00A37C1D">
              <w:rPr>
                <w:sz w:val="22"/>
                <w:szCs w:val="22"/>
              </w:rPr>
              <w:t xml:space="preserve"> ტანისა და თეძმის  დაცული ლანდშაფტებია)</w:t>
            </w:r>
          </w:p>
        </w:tc>
      </w:tr>
      <w:tr w:rsidR="004F5F40" w:rsidRPr="00A37C1D" w14:paraId="4F9D67AA" w14:textId="77777777" w:rsidTr="004D576A">
        <w:tc>
          <w:tcPr>
            <w:tcW w:w="562" w:type="dxa"/>
          </w:tcPr>
          <w:p w14:paraId="146F3DE1" w14:textId="77777777" w:rsidR="004F5F40" w:rsidRPr="00A37C1D" w:rsidRDefault="004F5F40">
            <w:pPr>
              <w:pStyle w:val="ListParagraph"/>
              <w:numPr>
                <w:ilvl w:val="0"/>
                <w:numId w:val="7"/>
              </w:numPr>
              <w:rPr>
                <w:rFonts w:ascii="Calibri" w:hAnsi="Calibri" w:cs="Calibri"/>
              </w:rPr>
            </w:pPr>
          </w:p>
        </w:tc>
        <w:tc>
          <w:tcPr>
            <w:tcW w:w="5528" w:type="dxa"/>
          </w:tcPr>
          <w:p w14:paraId="0AA58CF3" w14:textId="78F3C71D" w:rsidR="004F5F4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გვ:86 - ტყის მდგრადი მართვის პრაქტიკის დანერგვა. აღნიშნულ ფრაზასთან დაკავშირებით აღსანიშნავია, რომ ტყის მდგრადი მართვის დანერგვა მიმდინარე ღონისძიებაა, რომლის გათვალისწინებითაც იგეგმება ტყის მართვის გეგმები. რეკომენდებულია ყურადღება გამახვილდეს აღსრულების გაძლიერებაზე.</w:t>
            </w:r>
          </w:p>
        </w:tc>
        <w:tc>
          <w:tcPr>
            <w:tcW w:w="8363" w:type="dxa"/>
          </w:tcPr>
          <w:p w14:paraId="0C1D0033" w14:textId="4100D42A" w:rsidR="004F5F40" w:rsidRPr="00A37C1D" w:rsidRDefault="00491CAB">
            <w:pPr>
              <w:pStyle w:val="CommentText"/>
              <w:jc w:val="both"/>
              <w:rPr>
                <w:sz w:val="22"/>
                <w:szCs w:val="22"/>
              </w:rPr>
            </w:pPr>
            <w:r w:rsidRPr="00A37C1D">
              <w:rPr>
                <w:sz w:val="22"/>
                <w:szCs w:val="22"/>
              </w:rPr>
              <w:t>მოხდება გათვალისწინება.</w:t>
            </w:r>
          </w:p>
        </w:tc>
      </w:tr>
      <w:tr w:rsidR="004F5F40" w:rsidRPr="00A37C1D" w14:paraId="702162A2" w14:textId="77777777" w:rsidTr="004D576A">
        <w:tc>
          <w:tcPr>
            <w:tcW w:w="562" w:type="dxa"/>
          </w:tcPr>
          <w:p w14:paraId="649EB501" w14:textId="77777777" w:rsidR="004F5F40" w:rsidRPr="00A37C1D" w:rsidRDefault="004F5F40">
            <w:pPr>
              <w:pStyle w:val="ListParagraph"/>
              <w:numPr>
                <w:ilvl w:val="0"/>
                <w:numId w:val="7"/>
              </w:numPr>
              <w:rPr>
                <w:rFonts w:ascii="Calibri" w:hAnsi="Calibri" w:cs="Calibri"/>
              </w:rPr>
            </w:pPr>
          </w:p>
        </w:tc>
        <w:tc>
          <w:tcPr>
            <w:tcW w:w="5528" w:type="dxa"/>
          </w:tcPr>
          <w:p w14:paraId="3792D5CF" w14:textId="6B09A415" w:rsidR="004F5F4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 xml:space="preserve">გვ- 101 ნახშირბადის ემისიების ზრდაში ტყის ხანძრების მნიშვნელოვანი წვლილს გარდა, ისინი ასევე ტყეების სახეობრივი შემადგენლობის ცვლილებას, ეროზიასა და ტყის დაავადებების გავრცელებას იწვევენ. იზანშეწონილია ჩანაწერი ჩასწორდეს შემდეგი სახით: ნახშირბადის ემისიების ზრდაში ტყის ხანძრების მნიშვნელოვანი წვლილს გარდა, ისინი ასევე ტყის არასასურველ სახეობრივ ცვლილებას, ეროზიასა და ტყის დაავადებების გავრცელებას იწვევენ. </w:t>
            </w:r>
          </w:p>
        </w:tc>
        <w:tc>
          <w:tcPr>
            <w:tcW w:w="8363" w:type="dxa"/>
          </w:tcPr>
          <w:p w14:paraId="17213600" w14:textId="2929DDB7" w:rsidR="004F5F40" w:rsidRPr="00A37C1D" w:rsidRDefault="008852DF">
            <w:pPr>
              <w:pStyle w:val="CommentText"/>
              <w:jc w:val="both"/>
              <w:rPr>
                <w:sz w:val="22"/>
                <w:szCs w:val="22"/>
              </w:rPr>
            </w:pPr>
            <w:r w:rsidRPr="00A37C1D">
              <w:rPr>
                <w:sz w:val="22"/>
                <w:szCs w:val="22"/>
              </w:rPr>
              <w:t>გათვალისწინებულია</w:t>
            </w:r>
          </w:p>
        </w:tc>
      </w:tr>
      <w:tr w:rsidR="004F5F40" w:rsidRPr="00A37C1D" w14:paraId="093C74B7" w14:textId="77777777" w:rsidTr="004D576A">
        <w:tc>
          <w:tcPr>
            <w:tcW w:w="562" w:type="dxa"/>
          </w:tcPr>
          <w:p w14:paraId="4BB6FAB1" w14:textId="77777777" w:rsidR="004F5F40" w:rsidRPr="00A37C1D" w:rsidRDefault="004F5F40">
            <w:pPr>
              <w:pStyle w:val="ListParagraph"/>
              <w:numPr>
                <w:ilvl w:val="0"/>
                <w:numId w:val="7"/>
              </w:numPr>
              <w:rPr>
                <w:rFonts w:ascii="Calibri" w:hAnsi="Calibri" w:cs="Calibri"/>
              </w:rPr>
            </w:pPr>
          </w:p>
        </w:tc>
        <w:tc>
          <w:tcPr>
            <w:tcW w:w="5528" w:type="dxa"/>
          </w:tcPr>
          <w:p w14:paraId="45BC24BA" w14:textId="5CD0E3BC" w:rsidR="004F5F40" w:rsidRPr="00A37C1D" w:rsidRDefault="004F5F40">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 xml:space="preserve">გვ : 101 - ტყის ხანძრების წლიური რაოდენობა 13 წელიწადში (2019 წლამდე) 7-დან 118-მდე გაიზარდა. დოკუმენტში წარმოდგენილი ნახ 30 - ის მიხედვით შეიმჩნევა ტყის ხანძრების წლიური რაოდენობის მატების ტენდენცია, მაგრამ აღნიშნული ჩანაწერიდან იკითხება რომ, საშუალოდ წლიური ხანძრების რაოდენობა 118 გახდა. 118 ხანძრის რაოდენობა </w:t>
            </w:r>
            <w:r w:rsidRPr="00A37C1D">
              <w:rPr>
                <w:rFonts w:ascii="Calibri" w:eastAsia="Arial Unicode MS" w:hAnsi="Calibri" w:cs="Calibri"/>
              </w:rPr>
              <w:lastRenderedPageBreak/>
              <w:t>კონკრეტული წლის მონაცემია და არ ასახავს წლიური ტყის ხანძრების საშუალო რაოდენობას.</w:t>
            </w:r>
          </w:p>
        </w:tc>
        <w:tc>
          <w:tcPr>
            <w:tcW w:w="8363" w:type="dxa"/>
          </w:tcPr>
          <w:p w14:paraId="5DD9D7E6" w14:textId="61B5A926" w:rsidR="004F5F40" w:rsidRPr="00A37C1D" w:rsidRDefault="00ED0F99">
            <w:pPr>
              <w:pStyle w:val="CommentText"/>
              <w:jc w:val="both"/>
              <w:rPr>
                <w:sz w:val="22"/>
                <w:szCs w:val="22"/>
              </w:rPr>
            </w:pPr>
            <w:r w:rsidRPr="00A37C1D">
              <w:rPr>
                <w:sz w:val="22"/>
                <w:szCs w:val="22"/>
              </w:rPr>
              <w:lastRenderedPageBreak/>
              <w:t>ტექსტი დაკორექტირდა.</w:t>
            </w:r>
          </w:p>
        </w:tc>
      </w:tr>
      <w:tr w:rsidR="004F5F40" w:rsidRPr="00A37C1D" w14:paraId="1122D21E" w14:textId="77777777" w:rsidTr="004D576A">
        <w:tc>
          <w:tcPr>
            <w:tcW w:w="562" w:type="dxa"/>
          </w:tcPr>
          <w:p w14:paraId="6F564201" w14:textId="77777777" w:rsidR="004F5F40" w:rsidRPr="00A37C1D" w:rsidRDefault="004F5F40">
            <w:pPr>
              <w:pStyle w:val="ListParagraph"/>
              <w:numPr>
                <w:ilvl w:val="0"/>
                <w:numId w:val="7"/>
              </w:numPr>
              <w:rPr>
                <w:rFonts w:ascii="Calibri" w:hAnsi="Calibri" w:cs="Calibri"/>
              </w:rPr>
            </w:pPr>
          </w:p>
        </w:tc>
        <w:tc>
          <w:tcPr>
            <w:tcW w:w="5528" w:type="dxa"/>
          </w:tcPr>
          <w:p w14:paraId="5B2F2309" w14:textId="3E081498" w:rsidR="004F5F40" w:rsidRPr="00A37C1D" w:rsidRDefault="007329C3">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გვ : 102 - მიზანშეწონილია ნახ 30-ს დაემატოს 2021-23 წლის მონაცემებიც.</w:t>
            </w:r>
          </w:p>
        </w:tc>
        <w:tc>
          <w:tcPr>
            <w:tcW w:w="8363" w:type="dxa"/>
          </w:tcPr>
          <w:p w14:paraId="3A600815" w14:textId="4CF72B04" w:rsidR="004F5F40" w:rsidRPr="00A37C1D" w:rsidRDefault="00ED0F99">
            <w:pPr>
              <w:pStyle w:val="CommentText"/>
              <w:jc w:val="both"/>
              <w:rPr>
                <w:sz w:val="22"/>
                <w:szCs w:val="22"/>
              </w:rPr>
            </w:pPr>
            <w:r w:rsidRPr="00A37C1D">
              <w:rPr>
                <w:sz w:val="22"/>
                <w:szCs w:val="22"/>
              </w:rPr>
              <w:t>დაემატა 2021-22 წლის მონაცემები</w:t>
            </w:r>
            <w:r w:rsidR="006979CC" w:rsidRPr="00A37C1D">
              <w:rPr>
                <w:sz w:val="22"/>
                <w:szCs w:val="22"/>
              </w:rPr>
              <w:t>.</w:t>
            </w:r>
          </w:p>
        </w:tc>
      </w:tr>
      <w:tr w:rsidR="002C05CA" w:rsidRPr="00A37C1D" w14:paraId="5457B848" w14:textId="77777777" w:rsidTr="00566952">
        <w:tc>
          <w:tcPr>
            <w:tcW w:w="562" w:type="dxa"/>
          </w:tcPr>
          <w:p w14:paraId="77B0FF9F" w14:textId="77777777" w:rsidR="002C05CA" w:rsidRPr="00A37C1D" w:rsidRDefault="002C05CA">
            <w:pPr>
              <w:pStyle w:val="ListParagraph"/>
              <w:numPr>
                <w:ilvl w:val="0"/>
                <w:numId w:val="7"/>
              </w:numPr>
              <w:rPr>
                <w:rFonts w:ascii="Calibri" w:hAnsi="Calibri" w:cs="Calibri"/>
              </w:rPr>
            </w:pPr>
          </w:p>
        </w:tc>
        <w:tc>
          <w:tcPr>
            <w:tcW w:w="5528" w:type="dxa"/>
            <w:vMerge w:val="restart"/>
          </w:tcPr>
          <w:p w14:paraId="22F39C51" w14:textId="3E9D1F7A" w:rsidR="002C05CA" w:rsidRPr="00A37C1D" w:rsidRDefault="002C05CA" w:rsidP="00013E96">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ელექტროენერგიის ჯამური გენერაციის წყაროების ცხრილში (გარემოსდაცვითი შეფასების ანგარიში, გვ.27, ინტეგრირებული გეგმა, გვ.242) გაურკვეველია, ჰიდროენერგეტიკულ სიმძლავრეებში შესულია თუ არა ჰიდრომააკუმულირებელი სადგურები;</w:t>
            </w:r>
          </w:p>
          <w:p w14:paraId="2CCD6443" w14:textId="77777777" w:rsidR="002C05CA" w:rsidRPr="00A37C1D" w:rsidRDefault="002C05CA" w:rsidP="00013E96">
            <w:pPr>
              <w:pBdr>
                <w:top w:val="nil"/>
                <w:left w:val="nil"/>
                <w:bottom w:val="nil"/>
                <w:right w:val="nil"/>
                <w:between w:val="nil"/>
              </w:pBdr>
              <w:jc w:val="both"/>
              <w:rPr>
                <w:rFonts w:ascii="Calibri" w:eastAsia="Arial Unicode MS" w:hAnsi="Calibri" w:cs="Calibri"/>
              </w:rPr>
            </w:pPr>
          </w:p>
          <w:p w14:paraId="5C4B7517" w14:textId="76C09914" w:rsidR="002C05CA" w:rsidRPr="00A37C1D" w:rsidRDefault="002C05CA">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იმავე ცხრილის მიხედვით მზისა და ქარის ჰიდროსადგურებზე გამომუშავებული ელექტროენერგიის რაოდენობა 2030 წელს მთლიანი ენერგობალანსის 21%, ხოლო 2050 წელს 30%-ს შეადგენს. გაურკვეველია, ჰიდროელექტროსადგურებსა და თბოსადგურებზე დაგეგმილი სიმძლავრეები ითვალისწინებენ თუ არა ე.წ. ,,ცხელი რეზერვის” სიმძლავრეებს, ან როგორ ხდება მათი კომპენსირება;</w:t>
            </w:r>
          </w:p>
        </w:tc>
        <w:tc>
          <w:tcPr>
            <w:tcW w:w="8363" w:type="dxa"/>
            <w:vMerge w:val="restart"/>
          </w:tcPr>
          <w:p w14:paraId="215C129A" w14:textId="77777777" w:rsidR="002C05CA" w:rsidRPr="00A37C1D" w:rsidRDefault="002C05CA" w:rsidP="00013E96">
            <w:pPr>
              <w:pStyle w:val="CommentText"/>
              <w:jc w:val="both"/>
              <w:rPr>
                <w:sz w:val="22"/>
                <w:szCs w:val="22"/>
              </w:rPr>
            </w:pPr>
            <w:r w:rsidRPr="00A37C1D">
              <w:rPr>
                <w:sz w:val="22"/>
                <w:szCs w:val="22"/>
              </w:rPr>
              <w:t>დიახ, ცხრილი მოიცავს როგორც მარეგულირებელ, ისე მოდინებაზე მომუშავე ჰიდროელექტროსადგურებს. დოკუმენტში გაკეთდება შესაბამისი განმარტება.</w:t>
            </w:r>
          </w:p>
          <w:p w14:paraId="6442650D" w14:textId="2E4BBC10" w:rsidR="002C05CA" w:rsidRPr="00A37C1D" w:rsidRDefault="002C05CA">
            <w:pPr>
              <w:pStyle w:val="CommentText"/>
              <w:jc w:val="both"/>
              <w:rPr>
                <w:sz w:val="22"/>
                <w:szCs w:val="22"/>
              </w:rPr>
            </w:pPr>
            <w:r w:rsidRPr="00A37C1D">
              <w:rPr>
                <w:sz w:val="22"/>
                <w:szCs w:val="22"/>
              </w:rPr>
              <w:t>მოდელირება ითვალისწინებს რეზერვებს საქართველოსთვის ადაპტირებული ევროპული საბალანსო პროდუქტების შესაბამისად, კერძოდ:</w:t>
            </w:r>
          </w:p>
          <w:p w14:paraId="42124861" w14:textId="77777777" w:rsidR="002C05CA" w:rsidRPr="00A37C1D" w:rsidRDefault="002C05CA">
            <w:pPr>
              <w:pStyle w:val="CommentText"/>
              <w:jc w:val="both"/>
              <w:rPr>
                <w:sz w:val="22"/>
                <w:szCs w:val="22"/>
              </w:rPr>
            </w:pPr>
          </w:p>
          <w:p w14:paraId="622B8C05" w14:textId="2A7A72ED" w:rsidR="002C05CA" w:rsidRPr="00A37C1D" w:rsidRDefault="002C05CA">
            <w:pPr>
              <w:pStyle w:val="CommentText"/>
              <w:jc w:val="both"/>
              <w:rPr>
                <w:sz w:val="22"/>
                <w:szCs w:val="22"/>
              </w:rPr>
            </w:pPr>
            <w:r w:rsidRPr="00A37C1D">
              <w:rPr>
                <w:sz w:val="22"/>
                <w:szCs w:val="22"/>
              </w:rPr>
              <w:t>•</w:t>
            </w:r>
            <w:r w:rsidRPr="00A37C1D">
              <w:rPr>
                <w:sz w:val="22"/>
                <w:szCs w:val="22"/>
              </w:rPr>
              <w:tab/>
              <w:t>FCR (Frequency Containment Reserve) - სიხშირის შეკავების რეზერვი</w:t>
            </w:r>
            <w:r w:rsidR="00E24A26" w:rsidRPr="00A37C1D">
              <w:rPr>
                <w:sz w:val="22"/>
                <w:szCs w:val="22"/>
              </w:rPr>
              <w:t>,</w:t>
            </w:r>
            <w:r w:rsidRPr="00A37C1D">
              <w:rPr>
                <w:sz w:val="22"/>
                <w:szCs w:val="22"/>
              </w:rPr>
              <w:t xml:space="preserve"> იგი აქტიურდება </w:t>
            </w:r>
            <w:proofErr w:type="spellStart"/>
            <w:r w:rsidRPr="00A37C1D">
              <w:rPr>
                <w:sz w:val="22"/>
                <w:szCs w:val="22"/>
              </w:rPr>
              <w:t>უბალანსობის</w:t>
            </w:r>
            <w:proofErr w:type="spellEnd"/>
            <w:r w:rsidRPr="00A37C1D">
              <w:rPr>
                <w:sz w:val="22"/>
                <w:szCs w:val="22"/>
              </w:rPr>
              <w:t xml:space="preserve"> წარმოქმნის მომენტიდან 2 წმ-ში. მისი დანიშნულებაა სიხშირის ცვლილების შეჩერება.</w:t>
            </w:r>
          </w:p>
          <w:p w14:paraId="3BA79606" w14:textId="15F20AF4" w:rsidR="002C05CA" w:rsidRPr="00A37C1D" w:rsidRDefault="002C05CA">
            <w:pPr>
              <w:pStyle w:val="CommentText"/>
              <w:jc w:val="both"/>
              <w:rPr>
                <w:sz w:val="22"/>
                <w:szCs w:val="22"/>
              </w:rPr>
            </w:pPr>
            <w:r w:rsidRPr="00A37C1D">
              <w:rPr>
                <w:sz w:val="22"/>
                <w:szCs w:val="22"/>
              </w:rPr>
              <w:t>•</w:t>
            </w:r>
            <w:r w:rsidRPr="00A37C1D">
              <w:rPr>
                <w:sz w:val="22"/>
                <w:szCs w:val="22"/>
              </w:rPr>
              <w:tab/>
              <w:t xml:space="preserve">aFRR (automatic Frequency Restoration Reserve) - სიხშირის ავტომატური აღდგენის რეზერვი ამოქმედებას იწყებს </w:t>
            </w:r>
            <w:proofErr w:type="spellStart"/>
            <w:r w:rsidRPr="00A37C1D">
              <w:rPr>
                <w:sz w:val="22"/>
                <w:szCs w:val="22"/>
              </w:rPr>
              <w:t>უბალანსობის</w:t>
            </w:r>
            <w:proofErr w:type="spellEnd"/>
            <w:r w:rsidRPr="00A37C1D">
              <w:rPr>
                <w:sz w:val="22"/>
                <w:szCs w:val="22"/>
              </w:rPr>
              <w:t xml:space="preserve"> წარმოქმნის მომენტიდან 30 წმ-ში</w:t>
            </w:r>
            <w:r w:rsidR="008C6703" w:rsidRPr="00A37C1D">
              <w:rPr>
                <w:sz w:val="22"/>
                <w:szCs w:val="22"/>
              </w:rPr>
              <w:t>,</w:t>
            </w:r>
            <w:r w:rsidRPr="00A37C1D">
              <w:rPr>
                <w:sz w:val="22"/>
                <w:szCs w:val="22"/>
              </w:rPr>
              <w:t xml:space="preserve"> რო</w:t>
            </w:r>
            <w:r w:rsidR="008C6703" w:rsidRPr="00A37C1D">
              <w:rPr>
                <w:sz w:val="22"/>
                <w:szCs w:val="22"/>
              </w:rPr>
              <w:t>დესაც</w:t>
            </w:r>
            <w:r w:rsidRPr="00A37C1D">
              <w:rPr>
                <w:sz w:val="22"/>
                <w:szCs w:val="22"/>
              </w:rPr>
              <w:t xml:space="preserve"> FCR სიხშირეს გარკვეულ მნიშვნელობამდე აკავებს მას ნელ-ნელა ანაცვლებს aFRR, რომლის დანიშნულებაა სიხშირის აღდგენა მის ნომინალურ მნიშვნელობამდე. aFRR-ის მიწოდება შეუძლიათ მხოლოდ იმ გენერატორებს, რომლებსაც გენერაციის ცვლილება ავტომატურად შეუძლიათ (AGC).</w:t>
            </w:r>
          </w:p>
          <w:p w14:paraId="55D7D6C9" w14:textId="2E13633A" w:rsidR="002C05CA" w:rsidRPr="00A37C1D" w:rsidRDefault="002C05CA">
            <w:pPr>
              <w:pStyle w:val="CommentText"/>
              <w:jc w:val="both"/>
              <w:rPr>
                <w:sz w:val="22"/>
                <w:szCs w:val="22"/>
              </w:rPr>
            </w:pPr>
            <w:r w:rsidRPr="00A37C1D">
              <w:rPr>
                <w:sz w:val="22"/>
                <w:szCs w:val="22"/>
              </w:rPr>
              <w:t>•</w:t>
            </w:r>
            <w:r w:rsidRPr="00A37C1D">
              <w:rPr>
                <w:sz w:val="22"/>
                <w:szCs w:val="22"/>
              </w:rPr>
              <w:tab/>
              <w:t xml:space="preserve">mFRR (manual Frequency Restoraion Reserve) - სიხშირის აღდგენის ხელით მართვადი რეზერვი ამოქმედებას იწყებს </w:t>
            </w:r>
            <w:proofErr w:type="spellStart"/>
            <w:r w:rsidRPr="00A37C1D">
              <w:rPr>
                <w:sz w:val="22"/>
                <w:szCs w:val="22"/>
              </w:rPr>
              <w:t>უბალანსობის</w:t>
            </w:r>
            <w:proofErr w:type="spellEnd"/>
            <w:r w:rsidRPr="00A37C1D">
              <w:rPr>
                <w:sz w:val="22"/>
                <w:szCs w:val="22"/>
              </w:rPr>
              <w:t xml:space="preserve"> წარმოქმნის მომენტიდან 15 წუთში. mFRR-ის დანიშნულებაა  დაეხმაროს aFFR-ს სიხშირის ნომინალურ მნიშვნელობამდე აღდგენაში. მისი ამოქმედება ხდება ხელით, </w:t>
            </w:r>
            <w:proofErr w:type="spellStart"/>
            <w:r w:rsidR="008C6703" w:rsidRPr="00A37C1D">
              <w:rPr>
                <w:sz w:val="22"/>
                <w:szCs w:val="22"/>
              </w:rPr>
              <w:t>ე.ი</w:t>
            </w:r>
            <w:proofErr w:type="spellEnd"/>
            <w:r w:rsidR="008C6703" w:rsidRPr="00A37C1D">
              <w:rPr>
                <w:sz w:val="22"/>
                <w:szCs w:val="22"/>
              </w:rPr>
              <w:t>.</w:t>
            </w:r>
            <w:r w:rsidRPr="00A37C1D">
              <w:rPr>
                <w:sz w:val="22"/>
                <w:szCs w:val="22"/>
              </w:rPr>
              <w:t xml:space="preserve"> დისპეტჩერის ბრძანებით. </w:t>
            </w:r>
          </w:p>
        </w:tc>
      </w:tr>
      <w:tr w:rsidR="002C05CA" w:rsidRPr="00A37C1D" w14:paraId="12B9E6FF" w14:textId="77777777" w:rsidTr="00566952">
        <w:tc>
          <w:tcPr>
            <w:tcW w:w="562" w:type="dxa"/>
          </w:tcPr>
          <w:p w14:paraId="2DF31852" w14:textId="77777777" w:rsidR="002C05CA" w:rsidRPr="00A37C1D" w:rsidRDefault="002C05CA">
            <w:pPr>
              <w:pStyle w:val="ListParagraph"/>
              <w:numPr>
                <w:ilvl w:val="0"/>
                <w:numId w:val="7"/>
              </w:numPr>
              <w:rPr>
                <w:rFonts w:ascii="Calibri" w:hAnsi="Calibri" w:cs="Calibri"/>
                <w:lang w:val="ka-GE"/>
              </w:rPr>
            </w:pPr>
          </w:p>
        </w:tc>
        <w:tc>
          <w:tcPr>
            <w:tcW w:w="5528" w:type="dxa"/>
            <w:vMerge/>
          </w:tcPr>
          <w:p w14:paraId="61F8C5E6" w14:textId="0E6DBCE0" w:rsidR="002C05CA" w:rsidRPr="00A37C1D" w:rsidRDefault="002C05CA">
            <w:pPr>
              <w:pBdr>
                <w:top w:val="nil"/>
                <w:left w:val="nil"/>
                <w:bottom w:val="nil"/>
                <w:right w:val="nil"/>
                <w:between w:val="nil"/>
              </w:pBdr>
              <w:jc w:val="both"/>
              <w:rPr>
                <w:rFonts w:ascii="Calibri" w:eastAsia="Arial Unicode MS" w:hAnsi="Calibri" w:cs="Calibri"/>
              </w:rPr>
            </w:pPr>
          </w:p>
        </w:tc>
        <w:tc>
          <w:tcPr>
            <w:tcW w:w="8363" w:type="dxa"/>
            <w:vMerge/>
          </w:tcPr>
          <w:p w14:paraId="1FCCE6AB" w14:textId="2C1AF5FF" w:rsidR="002C05CA" w:rsidRPr="00A37C1D" w:rsidRDefault="002C05CA">
            <w:pPr>
              <w:pStyle w:val="CommentText"/>
              <w:jc w:val="both"/>
              <w:rPr>
                <w:sz w:val="22"/>
                <w:szCs w:val="22"/>
              </w:rPr>
            </w:pPr>
          </w:p>
        </w:tc>
      </w:tr>
      <w:tr w:rsidR="007329C3" w:rsidRPr="00A37C1D" w14:paraId="0936B7BF" w14:textId="77777777" w:rsidTr="004D576A">
        <w:tc>
          <w:tcPr>
            <w:tcW w:w="562" w:type="dxa"/>
          </w:tcPr>
          <w:p w14:paraId="7AE968D9" w14:textId="77777777" w:rsidR="007329C3" w:rsidRPr="00A37C1D" w:rsidRDefault="007329C3">
            <w:pPr>
              <w:pStyle w:val="ListParagraph"/>
              <w:numPr>
                <w:ilvl w:val="0"/>
                <w:numId w:val="7"/>
              </w:numPr>
              <w:rPr>
                <w:rFonts w:ascii="Calibri" w:hAnsi="Calibri" w:cs="Calibri"/>
                <w:lang w:val="ka-GE"/>
              </w:rPr>
            </w:pPr>
          </w:p>
        </w:tc>
        <w:tc>
          <w:tcPr>
            <w:tcW w:w="5528" w:type="dxa"/>
          </w:tcPr>
          <w:p w14:paraId="676840BE" w14:textId="1A7904E6" w:rsidR="007329C3" w:rsidRPr="00A37C1D" w:rsidRDefault="00A837DF">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ენერგეტიკული სექტორის მიმოხილვაში არ არის მოცემული არსებული და დაგეგმილი ელექტროენერგეტიკული ბალანსის სტრუქტურა (ბაზისური, ნახევარბაზისური და პიკური ენერგიების თანაფარდობა წლიურ ან/და სეზონურ ჭრილში);</w:t>
            </w:r>
          </w:p>
        </w:tc>
        <w:tc>
          <w:tcPr>
            <w:tcW w:w="8363" w:type="dxa"/>
          </w:tcPr>
          <w:p w14:paraId="7216635E" w14:textId="77777777" w:rsidR="00A837DF" w:rsidRPr="00A37C1D" w:rsidRDefault="00A837DF">
            <w:pPr>
              <w:pStyle w:val="CommentText"/>
              <w:jc w:val="both"/>
              <w:rPr>
                <w:sz w:val="22"/>
                <w:szCs w:val="22"/>
              </w:rPr>
            </w:pPr>
            <w:r w:rsidRPr="00A37C1D">
              <w:rPr>
                <w:sz w:val="22"/>
                <w:szCs w:val="22"/>
              </w:rPr>
              <w:t>განმარტება და სურათი იხილეთ ქვემოთ:</w:t>
            </w:r>
          </w:p>
          <w:p w14:paraId="5FEF028F" w14:textId="77777777" w:rsidR="00A837DF" w:rsidRPr="00A37C1D" w:rsidRDefault="00A837DF">
            <w:pPr>
              <w:pStyle w:val="CommentText"/>
              <w:jc w:val="both"/>
              <w:rPr>
                <w:sz w:val="22"/>
                <w:szCs w:val="22"/>
              </w:rPr>
            </w:pPr>
            <w:r w:rsidRPr="00A37C1D">
              <w:rPr>
                <w:sz w:val="22"/>
                <w:szCs w:val="22"/>
              </w:rPr>
              <w:t xml:space="preserve"> </w:t>
            </w:r>
          </w:p>
          <w:p w14:paraId="6F421A10" w14:textId="77777777" w:rsidR="00A837DF" w:rsidRPr="00A37C1D" w:rsidRDefault="00A837DF">
            <w:pPr>
              <w:pStyle w:val="CommentText"/>
              <w:jc w:val="both"/>
              <w:rPr>
                <w:sz w:val="22"/>
                <w:szCs w:val="22"/>
              </w:rPr>
            </w:pPr>
            <w:r w:rsidRPr="00A37C1D">
              <w:rPr>
                <w:sz w:val="22"/>
                <w:szCs w:val="22"/>
              </w:rPr>
              <w:t>1.</w:t>
            </w:r>
            <w:r w:rsidRPr="00A37C1D">
              <w:rPr>
                <w:sz w:val="22"/>
                <w:szCs w:val="22"/>
              </w:rPr>
              <w:tab/>
              <w:t>ბაზისური, რომელიც განთავსებულია მინიმალური დატვირთვის ქვემოთ;</w:t>
            </w:r>
          </w:p>
          <w:p w14:paraId="55EECA27" w14:textId="38D27C5E" w:rsidR="00A837DF" w:rsidRPr="00A37C1D" w:rsidRDefault="00A837DF">
            <w:pPr>
              <w:pStyle w:val="CommentText"/>
              <w:jc w:val="both"/>
              <w:rPr>
                <w:sz w:val="22"/>
                <w:szCs w:val="22"/>
              </w:rPr>
            </w:pPr>
            <w:r w:rsidRPr="00A37C1D">
              <w:rPr>
                <w:sz w:val="22"/>
                <w:szCs w:val="22"/>
              </w:rPr>
              <w:t>2.</w:t>
            </w:r>
            <w:r w:rsidRPr="00A37C1D">
              <w:rPr>
                <w:sz w:val="22"/>
                <w:szCs w:val="22"/>
              </w:rPr>
              <w:tab/>
              <w:t xml:space="preserve">ნახევრად პიკური, რომელიც განლაგებულია მინიმალურ და საშუალო დღეღამურ დატვირთვებს შორის; </w:t>
            </w:r>
          </w:p>
          <w:p w14:paraId="6BA8ACDC" w14:textId="415B59C2" w:rsidR="007329C3" w:rsidRPr="00A37C1D" w:rsidRDefault="00A837DF">
            <w:pPr>
              <w:pStyle w:val="CommentText"/>
              <w:jc w:val="both"/>
              <w:rPr>
                <w:sz w:val="22"/>
                <w:szCs w:val="22"/>
              </w:rPr>
            </w:pPr>
            <w:r w:rsidRPr="00A37C1D">
              <w:rPr>
                <w:sz w:val="22"/>
                <w:szCs w:val="22"/>
              </w:rPr>
              <w:t>3.</w:t>
            </w:r>
            <w:r w:rsidRPr="00A37C1D">
              <w:rPr>
                <w:sz w:val="22"/>
                <w:szCs w:val="22"/>
              </w:rPr>
              <w:tab/>
              <w:t>პიკური, რომელიც განლაგებულია საშუალო დღეღამური დატვირთვის ზემოთ</w:t>
            </w:r>
            <w:r w:rsidR="004E627B" w:rsidRPr="00A37C1D">
              <w:rPr>
                <w:sz w:val="22"/>
                <w:szCs w:val="22"/>
              </w:rPr>
              <w:t>;</w:t>
            </w:r>
          </w:p>
          <w:p w14:paraId="2D1462FF" w14:textId="77777777" w:rsidR="007E4267" w:rsidRPr="00A37C1D" w:rsidRDefault="007E4267">
            <w:pPr>
              <w:pStyle w:val="CommentText"/>
              <w:jc w:val="both"/>
              <w:rPr>
                <w:sz w:val="22"/>
                <w:szCs w:val="22"/>
              </w:rPr>
            </w:pPr>
          </w:p>
          <w:p w14:paraId="20F97566" w14:textId="6694A903" w:rsidR="007E4267" w:rsidRPr="00A37C1D" w:rsidRDefault="007E4267">
            <w:pPr>
              <w:pStyle w:val="CommentText"/>
              <w:jc w:val="both"/>
              <w:rPr>
                <w:sz w:val="22"/>
                <w:szCs w:val="22"/>
              </w:rPr>
            </w:pPr>
          </w:p>
          <w:p w14:paraId="792D28D2" w14:textId="6B2900CB" w:rsidR="007E4267" w:rsidRPr="00A37C1D" w:rsidRDefault="007E4267">
            <w:pPr>
              <w:pStyle w:val="CommentText"/>
              <w:jc w:val="both"/>
              <w:rPr>
                <w:sz w:val="22"/>
                <w:szCs w:val="22"/>
              </w:rPr>
            </w:pPr>
            <w:r w:rsidRPr="00A37C1D">
              <w:rPr>
                <w:sz w:val="22"/>
                <w:szCs w:val="22"/>
              </w:rPr>
              <w:t>განმარტება და სურათი იხილეთ ქვემოთ:</w:t>
            </w:r>
          </w:p>
          <w:p w14:paraId="3822768A" w14:textId="174AE375" w:rsidR="007E4267" w:rsidRPr="00A37C1D" w:rsidRDefault="007E4267">
            <w:pPr>
              <w:pStyle w:val="CommentText"/>
              <w:jc w:val="both"/>
              <w:rPr>
                <w:sz w:val="22"/>
                <w:szCs w:val="22"/>
              </w:rPr>
            </w:pPr>
            <w:r w:rsidRPr="00A37C1D">
              <w:rPr>
                <w:b/>
                <w:noProof/>
                <w:lang w:val="en-US"/>
              </w:rPr>
              <w:lastRenderedPageBreak/>
              <w:drawing>
                <wp:anchor distT="0" distB="0" distL="114300" distR="114300" simplePos="0" relativeHeight="251658240" behindDoc="0" locked="0" layoutInCell="1" allowOverlap="1" wp14:anchorId="43CB09A2" wp14:editId="450BEA11">
                  <wp:simplePos x="0" y="0"/>
                  <wp:positionH relativeFrom="column">
                    <wp:posOffset>756920</wp:posOffset>
                  </wp:positionH>
                  <wp:positionV relativeFrom="paragraph">
                    <wp:posOffset>55245</wp:posOffset>
                  </wp:positionV>
                  <wp:extent cx="3563620" cy="2319234"/>
                  <wp:effectExtent l="0" t="0" r="0" b="5080"/>
                  <wp:wrapSquare wrapText="bothSides"/>
                  <wp:docPr id="67410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3620" cy="2319234"/>
                          </a:xfrm>
                          <a:prstGeom prst="rect">
                            <a:avLst/>
                          </a:prstGeom>
                          <a:noFill/>
                        </pic:spPr>
                      </pic:pic>
                    </a:graphicData>
                  </a:graphic>
                </wp:anchor>
              </w:drawing>
            </w:r>
          </w:p>
          <w:p w14:paraId="78DFF153" w14:textId="31A4B89B" w:rsidR="007E4267" w:rsidRPr="00A37C1D" w:rsidRDefault="007E4267">
            <w:pPr>
              <w:pStyle w:val="CommentText"/>
              <w:jc w:val="both"/>
              <w:rPr>
                <w:sz w:val="22"/>
                <w:szCs w:val="22"/>
              </w:rPr>
            </w:pPr>
          </w:p>
          <w:p w14:paraId="2588B93A" w14:textId="1D199117" w:rsidR="007E4267" w:rsidRPr="00A37C1D" w:rsidRDefault="007E4267">
            <w:pPr>
              <w:pStyle w:val="CommentText"/>
              <w:jc w:val="both"/>
              <w:rPr>
                <w:sz w:val="22"/>
                <w:szCs w:val="22"/>
              </w:rPr>
            </w:pPr>
          </w:p>
        </w:tc>
      </w:tr>
      <w:tr w:rsidR="007329C3" w:rsidRPr="00A37C1D" w14:paraId="2D0705AF" w14:textId="77777777" w:rsidTr="004D576A">
        <w:tc>
          <w:tcPr>
            <w:tcW w:w="562" w:type="dxa"/>
          </w:tcPr>
          <w:p w14:paraId="246207B4" w14:textId="77777777" w:rsidR="007329C3" w:rsidRPr="00A37C1D" w:rsidRDefault="007329C3">
            <w:pPr>
              <w:pStyle w:val="ListParagraph"/>
              <w:numPr>
                <w:ilvl w:val="0"/>
                <w:numId w:val="7"/>
              </w:numPr>
              <w:rPr>
                <w:rFonts w:ascii="Calibri" w:hAnsi="Calibri" w:cs="Calibri"/>
              </w:rPr>
            </w:pPr>
          </w:p>
        </w:tc>
        <w:tc>
          <w:tcPr>
            <w:tcW w:w="5528" w:type="dxa"/>
          </w:tcPr>
          <w:p w14:paraId="5FCE3F0F" w14:textId="37E23F0D" w:rsidR="007329C3" w:rsidRPr="00A37C1D" w:rsidRDefault="00A837DF">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საჭიროა დაზუსტდეს ბუნებრივი გაზის თხევად ბუნებრივ გაზად (LNG), კომპრესირებულ ბუნებრივ გაზად (CNG) და თხევად ნახშირწყალბადიან გაზად (LPG) გარდაქმნის საკითხი (თავი 4.4.2). მნიშვნელოვანია, განმარტებულ იქნეს - წარმოადგენს აღნიშნული პროცესი (ES-7) ვირტუალურ გაცვლას (ეკონომიკურ მექანიზმს), თუ დაკავშირებული იქნება ქიმიურ წარმოებასთან და შედეგად მავნე ნივთიერებათა დამატებითი ემისიების ფორმირებასთან და 4.4.2.3 თავში მოცემული შემცირების ღონისძიებების დაგეგმვასთან.;</w:t>
            </w:r>
          </w:p>
        </w:tc>
        <w:tc>
          <w:tcPr>
            <w:tcW w:w="8363" w:type="dxa"/>
          </w:tcPr>
          <w:p w14:paraId="09FFE15B" w14:textId="58BB7D9C" w:rsidR="00E32E8D" w:rsidRPr="00A37C1D" w:rsidRDefault="00E32E8D">
            <w:pPr>
              <w:pStyle w:val="CommentText"/>
              <w:jc w:val="both"/>
              <w:rPr>
                <w:sz w:val="22"/>
                <w:szCs w:val="22"/>
              </w:rPr>
            </w:pPr>
            <w:r w:rsidRPr="00A37C1D">
              <w:rPr>
                <w:sz w:val="22"/>
                <w:szCs w:val="22"/>
              </w:rPr>
              <w:t>ენერგეტიკული გაერთიანების 2020 წლის ორმხრივი ინტერესის   (PMI) სტატუსის პროექტის ფარგლებში განიხილება ევროკავშირის ქვეყნებში (საბერძნეთის და იტალიის) ან თურქეთის რეგაზიფიკაციის ტერმინალებზე LNG - ის მიწოდება, ხოლო საქართველოში იგივე მოცულობის ბუნებრივი გაზის მიღება</w:t>
            </w:r>
            <w:r w:rsidR="00AA6505" w:rsidRPr="00A37C1D">
              <w:rPr>
                <w:sz w:val="22"/>
                <w:szCs w:val="22"/>
              </w:rPr>
              <w:t xml:space="preserve"> მოხდება</w:t>
            </w:r>
            <w:r w:rsidRPr="00A37C1D">
              <w:rPr>
                <w:sz w:val="22"/>
                <w:szCs w:val="22"/>
              </w:rPr>
              <w:t xml:space="preserve"> სამხრეთ კავკასიური გაზსადენის სისტემის საშუალებით. პროექტის რეალიზაცია უზრუნველყოფს LNG- ზე საქართველოს არაპირდაპირ დაშვებას და შესაბამისად, გაზის მიწოდების ახალ წყაროზე ვირტუალურ წვდომას. პროექტის რეალიზაციისათვის</w:t>
            </w:r>
            <w:r w:rsidR="00AA6505" w:rsidRPr="00A37C1D">
              <w:rPr>
                <w:sz w:val="22"/>
                <w:szCs w:val="22"/>
              </w:rPr>
              <w:t>,</w:t>
            </w:r>
            <w:r w:rsidRPr="00A37C1D">
              <w:rPr>
                <w:sz w:val="22"/>
                <w:szCs w:val="22"/>
              </w:rPr>
              <w:t xml:space="preserve">  გარდა „სვოპურ“ გარიგებებთან დაკავშირებული ეკონომიკური მექანიზმების ამოქმედებისა, საჭიროა სამხრეთ კავკასიური გაზსადენიდან მხოლოდ გაზის არსებული მიმღები კვანძის რეკონსტრუქცია ან დამატებითი მიმღები კვანძის მოწყობა  უმნიშვნელო დანახარჯებით.</w:t>
            </w:r>
          </w:p>
          <w:p w14:paraId="387517CE" w14:textId="77777777" w:rsidR="00E32E8D" w:rsidRPr="00A37C1D" w:rsidRDefault="00E32E8D">
            <w:pPr>
              <w:pStyle w:val="CommentText"/>
              <w:jc w:val="both"/>
              <w:rPr>
                <w:sz w:val="22"/>
                <w:szCs w:val="22"/>
              </w:rPr>
            </w:pPr>
          </w:p>
          <w:p w14:paraId="7F1F1911" w14:textId="2BCEAD54" w:rsidR="00E32E8D" w:rsidRPr="00A37C1D" w:rsidRDefault="00E32E8D">
            <w:pPr>
              <w:pStyle w:val="CommentText"/>
              <w:jc w:val="both"/>
              <w:rPr>
                <w:sz w:val="22"/>
                <w:szCs w:val="22"/>
              </w:rPr>
            </w:pPr>
            <w:r w:rsidRPr="00A37C1D">
              <w:rPr>
                <w:sz w:val="22"/>
                <w:szCs w:val="22"/>
              </w:rPr>
              <w:t xml:space="preserve">გარდა ამისა, განიხილება დივერსიფიცირებული წყაროებიდან მიღებული ბუნებრივი გაზის გარდაქმნის სხვადასხვა პროდუქტების (გათხევადებული ბუნებრივი გაზის (LNG) ან კომპრესიული ბუნებრივი გაზის (CNG), აგრეთვე,  თხევადი ნავთობის გაზის (LPG) მიღების შესაძლებლობა და მიწოდება მაღალმთიანი რეგიონებისთვის, რომლებიც არ არიან დაფარული გაზსადენის ქსელით. ასევე, აღნიშნული პროდუქტები საწვავის სახით შეიძლება  ეფექტურად იყოს გამოყენებული საავტომობილო და საზღვაო ტრანსპორტში. დიზელზე მომუშავე </w:t>
            </w:r>
            <w:r w:rsidRPr="00A37C1D">
              <w:rPr>
                <w:sz w:val="22"/>
                <w:szCs w:val="22"/>
              </w:rPr>
              <w:lastRenderedPageBreak/>
              <w:t>ძრავების LNG - ით (ან CNG- ით) ძრავებით ჩანაცვლება მნიშვნელოვნად შეამცირებს როგორც საოპერაციო ხარჯებს, ასევე უარყოფით გავლენას გარემოზე.</w:t>
            </w:r>
          </w:p>
          <w:p w14:paraId="67119C35" w14:textId="77777777" w:rsidR="00E32E8D" w:rsidRPr="00A37C1D" w:rsidRDefault="00E32E8D">
            <w:pPr>
              <w:pStyle w:val="CommentText"/>
              <w:jc w:val="both"/>
              <w:rPr>
                <w:sz w:val="22"/>
                <w:szCs w:val="22"/>
              </w:rPr>
            </w:pPr>
          </w:p>
          <w:p w14:paraId="065604E9" w14:textId="458FD568" w:rsidR="007329C3" w:rsidRPr="00A37C1D" w:rsidRDefault="00E32E8D">
            <w:pPr>
              <w:pStyle w:val="CommentText"/>
              <w:jc w:val="both"/>
              <w:rPr>
                <w:sz w:val="22"/>
                <w:szCs w:val="22"/>
              </w:rPr>
            </w:pPr>
            <w:r w:rsidRPr="00A37C1D">
              <w:rPr>
                <w:sz w:val="22"/>
                <w:szCs w:val="22"/>
              </w:rPr>
              <w:t>შესაბამისად, ბუნებრივი გაზისა და მისგან წარმოებული პროდუქტების მიღება დაკავშირებული არაა ადგილობრივ წარმოებასთან და არ საჭიროებ</w:t>
            </w:r>
            <w:r w:rsidR="00AA6505" w:rsidRPr="00A37C1D">
              <w:rPr>
                <w:sz w:val="22"/>
                <w:szCs w:val="22"/>
              </w:rPr>
              <w:t>ს</w:t>
            </w:r>
            <w:r w:rsidRPr="00A37C1D">
              <w:rPr>
                <w:sz w:val="22"/>
                <w:szCs w:val="22"/>
              </w:rPr>
              <w:t xml:space="preserve"> მავნე ნივთიერებათა დამატებითი ემისიების შემცირების ღონისძიებების დაგეგმვას. რაც შეეხება თხევადი ნავთობის გაზს (LPG), მისი მოწოდება საქართველოს ბაზარზე ხორციელდება ისტორიულად (ჯერ კიდევ საბჭოთა პერიოდიდან)</w:t>
            </w:r>
            <w:r w:rsidR="00AA6505" w:rsidRPr="00A37C1D">
              <w:rPr>
                <w:sz w:val="22"/>
                <w:szCs w:val="22"/>
              </w:rPr>
              <w:t>,</w:t>
            </w:r>
            <w:r w:rsidRPr="00A37C1D">
              <w:rPr>
                <w:sz w:val="22"/>
                <w:szCs w:val="22"/>
              </w:rPr>
              <w:t xml:space="preserve"> შემოთავაზებული ღონისძიება კი ითვალისწინებს თხევადი ნავთობის გაზის უფრო ეფექტურ გამოყენებას (ქვეყნის მაღალ მთიანი რეგიონების მაცხრად დასახლებულ სოფლებში LPG-ის მიწოდება, ძვირადღირებული მილსადენების მშენებლობის ნაცვლად).</w:t>
            </w:r>
          </w:p>
        </w:tc>
      </w:tr>
      <w:tr w:rsidR="00A837DF" w:rsidRPr="00A37C1D" w14:paraId="11F070A7" w14:textId="77777777" w:rsidTr="004D576A">
        <w:tc>
          <w:tcPr>
            <w:tcW w:w="562" w:type="dxa"/>
          </w:tcPr>
          <w:p w14:paraId="643035C1" w14:textId="77777777" w:rsidR="00A837DF" w:rsidRPr="00A37C1D" w:rsidRDefault="00A837DF">
            <w:pPr>
              <w:pStyle w:val="ListParagraph"/>
              <w:numPr>
                <w:ilvl w:val="0"/>
                <w:numId w:val="7"/>
              </w:numPr>
              <w:rPr>
                <w:rFonts w:ascii="Calibri" w:hAnsi="Calibri" w:cs="Calibri"/>
              </w:rPr>
            </w:pPr>
          </w:p>
        </w:tc>
        <w:tc>
          <w:tcPr>
            <w:tcW w:w="5528" w:type="dxa"/>
          </w:tcPr>
          <w:p w14:paraId="288B09E1" w14:textId="09938239" w:rsidR="00A837DF" w:rsidRPr="00A37C1D" w:rsidRDefault="00A837DF">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 xml:space="preserve">იმ გარემოების გათვალისწინებით, რომ დღეისათვის ევროკავშირის ზოგიერთი დირექტივა ინტეგრირებულია ეროვნულ კანონმდებლობაში, მიზანშეწონილია ევროდირექტივების პარალელურად დოკუმენტში აღნიშნულ იქნეს, ასევე, შესაბამისი ეროვნული ნორმატიული აქტების სახელწოდებებიც (მაგალითად, 4.1.4. თავში „სამრეწველო ემისიების შესახებ“ 2010/75/EU დირექტივასთან ერთად, მიზანშეწონილია აღნიშნული იყოს საქართველოს კანონი „სამრეწველო ემისიების შესახებ“). </w:t>
            </w:r>
          </w:p>
        </w:tc>
        <w:tc>
          <w:tcPr>
            <w:tcW w:w="8363" w:type="dxa"/>
          </w:tcPr>
          <w:p w14:paraId="7906B8E7" w14:textId="56818E83" w:rsidR="00A837DF" w:rsidRPr="00A37C1D" w:rsidRDefault="001E434E">
            <w:pPr>
              <w:pStyle w:val="CommentText"/>
              <w:jc w:val="both"/>
              <w:rPr>
                <w:sz w:val="22"/>
                <w:szCs w:val="22"/>
              </w:rPr>
            </w:pPr>
            <w:r w:rsidRPr="00A37C1D">
              <w:rPr>
                <w:sz w:val="22"/>
                <w:szCs w:val="22"/>
              </w:rPr>
              <w:t>მოხდება გათვალისწინება ყველა დოკუმენტში.</w:t>
            </w:r>
          </w:p>
        </w:tc>
      </w:tr>
      <w:tr w:rsidR="00A837DF" w:rsidRPr="00A37C1D" w14:paraId="1C4E9FE0" w14:textId="77777777" w:rsidTr="004D576A">
        <w:tc>
          <w:tcPr>
            <w:tcW w:w="562" w:type="dxa"/>
          </w:tcPr>
          <w:p w14:paraId="63466D79" w14:textId="77777777" w:rsidR="00A837DF" w:rsidRPr="00A37C1D" w:rsidRDefault="00A837DF">
            <w:pPr>
              <w:pStyle w:val="ListParagraph"/>
              <w:numPr>
                <w:ilvl w:val="0"/>
                <w:numId w:val="7"/>
              </w:numPr>
              <w:rPr>
                <w:rFonts w:ascii="Calibri" w:hAnsi="Calibri" w:cs="Calibri"/>
              </w:rPr>
            </w:pPr>
          </w:p>
        </w:tc>
        <w:tc>
          <w:tcPr>
            <w:tcW w:w="5528" w:type="dxa"/>
          </w:tcPr>
          <w:p w14:paraId="1FE2AE46" w14:textId="47F2C1AE" w:rsidR="00A837DF" w:rsidRPr="00A37C1D" w:rsidRDefault="0099375F">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მიზანშეწონილია ტერმინი „საუკეთესო ხელმისაწვდომი ტექნოლოგიები“ შესაბამისობაში იქნეს მოყვანილი მოქმედ კანონმდებლობასთან და გამოყენებულ იქნეს შემდეგი ფორმულირება - „საუკეთესო ხელმისაწვდომი ტექნიკა“.</w:t>
            </w:r>
          </w:p>
        </w:tc>
        <w:tc>
          <w:tcPr>
            <w:tcW w:w="8363" w:type="dxa"/>
          </w:tcPr>
          <w:p w14:paraId="56447BCF" w14:textId="29ABB006" w:rsidR="00A837DF" w:rsidRPr="00A37C1D" w:rsidRDefault="001E434E">
            <w:pPr>
              <w:pStyle w:val="CommentText"/>
              <w:jc w:val="both"/>
              <w:rPr>
                <w:sz w:val="22"/>
                <w:szCs w:val="22"/>
              </w:rPr>
            </w:pPr>
            <w:r w:rsidRPr="00A37C1D">
              <w:rPr>
                <w:sz w:val="22"/>
                <w:szCs w:val="22"/>
              </w:rPr>
              <w:t>მოხდება გათვალისწინება.</w:t>
            </w:r>
          </w:p>
        </w:tc>
      </w:tr>
      <w:tr w:rsidR="00A837DF" w:rsidRPr="00A37C1D" w14:paraId="35294FB5" w14:textId="77777777" w:rsidTr="004D576A">
        <w:tc>
          <w:tcPr>
            <w:tcW w:w="562" w:type="dxa"/>
          </w:tcPr>
          <w:p w14:paraId="6BA2A3F4" w14:textId="77777777" w:rsidR="00A837DF" w:rsidRPr="00A37C1D" w:rsidRDefault="00A837DF">
            <w:pPr>
              <w:pStyle w:val="ListParagraph"/>
              <w:numPr>
                <w:ilvl w:val="0"/>
                <w:numId w:val="7"/>
              </w:numPr>
              <w:rPr>
                <w:rFonts w:ascii="Calibri" w:hAnsi="Calibri" w:cs="Calibri"/>
              </w:rPr>
            </w:pPr>
          </w:p>
        </w:tc>
        <w:tc>
          <w:tcPr>
            <w:tcW w:w="5528" w:type="dxa"/>
          </w:tcPr>
          <w:p w14:paraId="5978BB41" w14:textId="06C9F29C" w:rsidR="00A837DF" w:rsidRPr="00A37C1D" w:rsidRDefault="0099375F">
            <w:pPr>
              <w:pBdr>
                <w:top w:val="nil"/>
                <w:left w:val="nil"/>
                <w:bottom w:val="nil"/>
                <w:right w:val="nil"/>
                <w:between w:val="nil"/>
              </w:pBdr>
              <w:jc w:val="both"/>
              <w:rPr>
                <w:rFonts w:ascii="Calibri" w:eastAsia="Arial Unicode MS" w:hAnsi="Calibri" w:cs="Calibri"/>
              </w:rPr>
            </w:pPr>
            <w:r w:rsidRPr="00A37C1D">
              <w:rPr>
                <w:rFonts w:ascii="Calibri" w:eastAsia="Arial Unicode MS" w:hAnsi="Calibri" w:cs="Calibri"/>
              </w:rPr>
              <w:t xml:space="preserve">მიზანშეწონილია ინტეგრირებული      გეგმის 316-318 და 320-321 გვერდებზე მოცემული ცხრილების გრაფაში ,,საპროექტო დოკუმენტები, სამართლებრივი და მარეგულირებელი აქტები” დაემატოს: ენერგეტიკული ობიექტების დაპროექტების, განხილვისა და დამტკიცების, აგრეთვე სამშენებლო, </w:t>
            </w:r>
            <w:r w:rsidRPr="00A37C1D">
              <w:rPr>
                <w:rFonts w:ascii="Calibri" w:eastAsia="Arial Unicode MS" w:hAnsi="Calibri" w:cs="Calibri"/>
              </w:rPr>
              <w:lastRenderedPageBreak/>
              <w:t>გამართვა-გაწყობის, გაშვებისა და მიღება-ჩაბარების ეროვნული, საერთაშორისო მოთხოვნების შესაბამისი ნორმატიული დოკუმენტაციის მომზადება.</w:t>
            </w:r>
          </w:p>
        </w:tc>
        <w:tc>
          <w:tcPr>
            <w:tcW w:w="8363" w:type="dxa"/>
          </w:tcPr>
          <w:p w14:paraId="07B490F2" w14:textId="5C8CEE8C" w:rsidR="00A837DF" w:rsidRPr="00A37C1D" w:rsidRDefault="001E434E">
            <w:pPr>
              <w:pStyle w:val="CommentText"/>
              <w:jc w:val="both"/>
              <w:rPr>
                <w:sz w:val="22"/>
                <w:szCs w:val="22"/>
              </w:rPr>
            </w:pPr>
            <w:r w:rsidRPr="00A37C1D">
              <w:rPr>
                <w:sz w:val="22"/>
                <w:szCs w:val="22"/>
              </w:rPr>
              <w:lastRenderedPageBreak/>
              <w:t>მოხდება გათვალისწინება.</w:t>
            </w:r>
          </w:p>
        </w:tc>
      </w:tr>
      <w:tr w:rsidR="00CA7772" w:rsidRPr="00A37C1D" w14:paraId="142D3FAE" w14:textId="77777777" w:rsidTr="00013E96">
        <w:tc>
          <w:tcPr>
            <w:tcW w:w="562" w:type="dxa"/>
          </w:tcPr>
          <w:p w14:paraId="0088088A" w14:textId="77777777" w:rsidR="00CA7772" w:rsidRPr="00A37C1D" w:rsidRDefault="00CA7772" w:rsidP="00013E96">
            <w:pPr>
              <w:pStyle w:val="ListParagraph"/>
              <w:numPr>
                <w:ilvl w:val="0"/>
                <w:numId w:val="7"/>
              </w:numPr>
              <w:rPr>
                <w:rFonts w:ascii="Calibri" w:hAnsi="Calibri" w:cs="Calibri"/>
              </w:rPr>
            </w:pPr>
          </w:p>
        </w:tc>
        <w:tc>
          <w:tcPr>
            <w:tcW w:w="5528" w:type="dxa"/>
          </w:tcPr>
          <w:p w14:paraId="7DBC4B2E" w14:textId="6394FF51" w:rsidR="00CA7772" w:rsidRPr="00A37C1D" w:rsidRDefault="00CA7772" w:rsidP="00013E96">
            <w:pPr>
              <w:pBdr>
                <w:top w:val="nil"/>
                <w:left w:val="nil"/>
                <w:bottom w:val="nil"/>
                <w:right w:val="nil"/>
                <w:between w:val="nil"/>
              </w:pBdr>
              <w:jc w:val="both"/>
              <w:rPr>
                <w:rFonts w:ascii="Calibri" w:eastAsia="Arial Unicode MS" w:hAnsi="Calibri" w:cs="Calibri"/>
              </w:rPr>
            </w:pPr>
            <w:r w:rsidRPr="00A37C1D">
              <w:rPr>
                <w:rFonts w:ascii="Calibri" w:hAnsi="Calibri" w:cs="Calibri"/>
              </w:rPr>
              <w:t>ენერგეტიკული ობიექტების შერჩევის კრიტერიუმებში გათვალისწინებული უნდა იქნას ავარიულ სიტუაციებში ან სტიქიური მოვლენების შემთხვევაში მოსალოდნელი ისეთი უარყოფითი ზემოქმედების საკითხი, რომელიც გამოიწვევს მნიშვნელოვან ზიანს. მაგალითად, კაშხლის გარღვევის შემთხვევაში ფიზიკურად იქნას განადგურებული ან/და საფრთხე შეექმნას არსებულ უნიკალურ ეკოსისტემებს, სახეობებს და მათ პოპულაციებს;</w:t>
            </w:r>
          </w:p>
        </w:tc>
        <w:tc>
          <w:tcPr>
            <w:tcW w:w="8363" w:type="dxa"/>
          </w:tcPr>
          <w:p w14:paraId="3B9D14A1" w14:textId="43A84060" w:rsidR="00CA7772" w:rsidRPr="00A37C1D" w:rsidRDefault="00B87E22" w:rsidP="00013E96">
            <w:pPr>
              <w:pStyle w:val="CommentText"/>
              <w:jc w:val="both"/>
              <w:rPr>
                <w:sz w:val="22"/>
                <w:szCs w:val="22"/>
              </w:rPr>
            </w:pPr>
            <w:r w:rsidRPr="00A37C1D">
              <w:rPr>
                <w:sz w:val="22"/>
                <w:szCs w:val="22"/>
              </w:rPr>
              <w:t>ენერგეტიკული ობიექტების მშენებლობამდე</w:t>
            </w:r>
            <w:r w:rsidR="00A21057" w:rsidRPr="00A37C1D">
              <w:rPr>
                <w:sz w:val="22"/>
                <w:szCs w:val="22"/>
              </w:rPr>
              <w:t xml:space="preserve"> პოტენციური რისკების გათვალისწინება მართლაც მნიშვნელოვანი საკითხია, თუმცა ეს ვერ იქნება მოცემული სტრატეგიული გარემოსდაცვითი შეფასების ანგარიშის ნაწილი, ვინაიდან აღნიშნული უნდა რეგულირდებოდეს კანონით</w:t>
            </w:r>
            <w:r w:rsidR="00AA6505" w:rsidRPr="00A37C1D">
              <w:rPr>
                <w:sz w:val="22"/>
                <w:szCs w:val="22"/>
              </w:rPr>
              <w:t>;</w:t>
            </w:r>
            <w:r w:rsidR="00A21057" w:rsidRPr="00A37C1D">
              <w:rPr>
                <w:sz w:val="22"/>
                <w:szCs w:val="22"/>
              </w:rPr>
              <w:t xml:space="preserve"> კერძოდ</w:t>
            </w:r>
            <w:r w:rsidR="00AA6505" w:rsidRPr="00A37C1D">
              <w:rPr>
                <w:sz w:val="22"/>
                <w:szCs w:val="22"/>
              </w:rPr>
              <w:t>,</w:t>
            </w:r>
            <w:r w:rsidR="00A21057" w:rsidRPr="00A37C1D">
              <w:rPr>
                <w:sz w:val="22"/>
                <w:szCs w:val="22"/>
              </w:rPr>
              <w:t xml:space="preserve"> უნდა იყოს გარემოზე ზემოქმედების შეფასების (გზშ) ნაწილი და უნდა ავალდებულებდეს კომპანიას </w:t>
            </w:r>
            <w:r w:rsidR="00AA6505" w:rsidRPr="00A37C1D">
              <w:rPr>
                <w:sz w:val="22"/>
                <w:szCs w:val="22"/>
              </w:rPr>
              <w:t>ამ</w:t>
            </w:r>
            <w:r w:rsidR="00A21057" w:rsidRPr="00A37C1D">
              <w:rPr>
                <w:sz w:val="22"/>
                <w:szCs w:val="22"/>
              </w:rPr>
              <w:t xml:space="preserve"> რისკები</w:t>
            </w:r>
            <w:r w:rsidR="00AA6505" w:rsidRPr="00A37C1D">
              <w:rPr>
                <w:sz w:val="22"/>
                <w:szCs w:val="22"/>
              </w:rPr>
              <w:t>ს</w:t>
            </w:r>
            <w:r w:rsidR="00A21057" w:rsidRPr="00A37C1D">
              <w:rPr>
                <w:sz w:val="22"/>
                <w:szCs w:val="22"/>
              </w:rPr>
              <w:t xml:space="preserve"> წინასწარ განსაზღვრ</w:t>
            </w:r>
            <w:r w:rsidR="00AA6505" w:rsidRPr="00A37C1D">
              <w:rPr>
                <w:sz w:val="22"/>
                <w:szCs w:val="22"/>
              </w:rPr>
              <w:t>ა</w:t>
            </w:r>
            <w:r w:rsidR="00A21057" w:rsidRPr="00A37C1D">
              <w:rPr>
                <w:sz w:val="22"/>
                <w:szCs w:val="22"/>
              </w:rPr>
              <w:t xml:space="preserve">ს. ასეთი კომპეტენცია </w:t>
            </w:r>
            <w:r w:rsidR="00AA6505" w:rsidRPr="00A37C1D">
              <w:rPr>
                <w:sz w:val="22"/>
                <w:szCs w:val="22"/>
              </w:rPr>
              <w:t xml:space="preserve">კი </w:t>
            </w:r>
            <w:r w:rsidR="00A21057" w:rsidRPr="00A37C1D">
              <w:rPr>
                <w:sz w:val="22"/>
                <w:szCs w:val="22"/>
              </w:rPr>
              <w:t>გააჩნია გარემოსდაცვითი გადაწყვეტილების გამცემ ორგანოს. დამატებით უნდა აღინიშნოს, რომ მსგავსი გარემოსდაცვითი ნიუანსების გათვალისწინე</w:t>
            </w:r>
            <w:r w:rsidR="00651184" w:rsidRPr="00A37C1D">
              <w:rPr>
                <w:sz w:val="22"/>
                <w:szCs w:val="22"/>
              </w:rPr>
              <w:t xml:space="preserve">ბა </w:t>
            </w:r>
            <w:r w:rsidR="00EE6583" w:rsidRPr="00A37C1D">
              <w:rPr>
                <w:sz w:val="22"/>
                <w:szCs w:val="22"/>
              </w:rPr>
              <w:t xml:space="preserve">უნდა დაავალოს კომპანიას გადაწყვეტილებაზე გამცემმა პასუხისმგებელმა </w:t>
            </w:r>
            <w:r w:rsidR="007127C2" w:rsidRPr="00A37C1D">
              <w:rPr>
                <w:sz w:val="22"/>
                <w:szCs w:val="22"/>
              </w:rPr>
              <w:t>ორგან</w:t>
            </w:r>
            <w:r w:rsidR="00EE6583" w:rsidRPr="00A37C1D">
              <w:rPr>
                <w:sz w:val="22"/>
                <w:szCs w:val="22"/>
              </w:rPr>
              <w:t>ომ.</w:t>
            </w:r>
          </w:p>
        </w:tc>
      </w:tr>
      <w:tr w:rsidR="004E4369" w:rsidRPr="00A37C1D" w14:paraId="3344C35D" w14:textId="77777777" w:rsidTr="004D576A">
        <w:tc>
          <w:tcPr>
            <w:tcW w:w="562" w:type="dxa"/>
          </w:tcPr>
          <w:p w14:paraId="545E8EBE" w14:textId="77777777" w:rsidR="004E4369" w:rsidRPr="00A37C1D" w:rsidRDefault="004E4369">
            <w:pPr>
              <w:pStyle w:val="ListParagraph"/>
              <w:numPr>
                <w:ilvl w:val="0"/>
                <w:numId w:val="7"/>
              </w:numPr>
              <w:rPr>
                <w:rFonts w:ascii="Calibri" w:hAnsi="Calibri" w:cs="Calibri"/>
              </w:rPr>
            </w:pPr>
          </w:p>
        </w:tc>
        <w:tc>
          <w:tcPr>
            <w:tcW w:w="5528" w:type="dxa"/>
          </w:tcPr>
          <w:p w14:paraId="3626583D" w14:textId="77777777" w:rsidR="004E4369" w:rsidRPr="00A37C1D" w:rsidRDefault="004E4369" w:rsidP="002C40A9">
            <w:pPr>
              <w:pBdr>
                <w:top w:val="nil"/>
                <w:left w:val="nil"/>
                <w:bottom w:val="nil"/>
                <w:right w:val="nil"/>
                <w:between w:val="nil"/>
              </w:pBdr>
              <w:jc w:val="both"/>
              <w:rPr>
                <w:rFonts w:ascii="Calibri" w:eastAsia="Merriweather" w:hAnsi="Calibri" w:cs="Calibri"/>
              </w:rPr>
            </w:pPr>
            <w:r w:rsidRPr="00A37C1D">
              <w:rPr>
                <w:rFonts w:ascii="Calibri" w:eastAsia="Arial Unicode MS" w:hAnsi="Calibri" w:cs="Calibri"/>
              </w:rPr>
              <w:t>სტრატეგიული გარემოსდაცვითი შეფასების ანგარიშის მე-4 თავში, ენერგოუსაფრთხოების მიმართულებით დაგეგმილი ღონისძიებების განხორციელებით გარემოზე შესაძლო ზემოქმედების აღწერაში (ქვეთავი 4.4), ნახაზი 45-ით წარმოდგენილია ღები ჰესის და ჭიორა ჰესის ადგილმდებარეობა,  დაცულ ტერიტორიებსა და ზურმუხტის ქსელის ტერიტორიებთან მიმართებით. ხოლო ენერგოუსაფრთხოების მიმართულება ითვალისწინებს წყალსაცავიან ჰიდრომააკუმულირებელი ელექტროსადგურების მშენებლობას, რაც საჭიროებს დაზუსტებას</w:t>
            </w:r>
            <w:r w:rsidRPr="00A37C1D">
              <w:rPr>
                <w:rFonts w:ascii="Calibri" w:eastAsia="Merriweather" w:hAnsi="Calibri" w:cs="Calibri"/>
              </w:rPr>
              <w:t>;</w:t>
            </w:r>
          </w:p>
          <w:p w14:paraId="4A96EA23" w14:textId="77777777" w:rsidR="004E4369" w:rsidRPr="00A37C1D" w:rsidRDefault="004E4369">
            <w:pPr>
              <w:jc w:val="both"/>
              <w:rPr>
                <w:rFonts w:ascii="Calibri" w:hAnsi="Calibri" w:cs="Calibri"/>
                <w:lang w:val="en-US"/>
              </w:rPr>
            </w:pPr>
          </w:p>
        </w:tc>
        <w:tc>
          <w:tcPr>
            <w:tcW w:w="8363" w:type="dxa"/>
          </w:tcPr>
          <w:p w14:paraId="31427DFD" w14:textId="13D79B29" w:rsidR="004E4369" w:rsidRPr="00A37C1D" w:rsidRDefault="004E4369">
            <w:pPr>
              <w:pStyle w:val="CommentText"/>
              <w:jc w:val="both"/>
              <w:rPr>
                <w:sz w:val="22"/>
                <w:szCs w:val="22"/>
              </w:rPr>
            </w:pPr>
            <w:r w:rsidRPr="00A37C1D">
              <w:rPr>
                <w:sz w:val="22"/>
                <w:szCs w:val="22"/>
              </w:rPr>
              <w:t xml:space="preserve">45-ე ნახაზზე წარმოდგენილი ჰიდროელექტროსადგურები ნაჩვენებია მხოლოდ მაგალითისთვის იმის საილუსტრაციოდ, რომ ზოგ შემთხვევაში, როდესაც ჰესების მშენებლობა დაგეგმილია  დაცულ ტერიტორიებთან ახლოს, არ არის განსაზღვრული ჰესებთან დაკავშირებული  ელექტროგადამცემი ხაზების ზუსტი მარშრუტები, რაც არ იძლევა დაცულ და ზურმუხტის ქსელის ტერიტორიებზე ჰესისა და მასთან დაკავშირებული აუცილებელი ინფრასტრუქტურის (გადამცემი ხაზების)  ზემოქმედების მთლიანობაში შეფასების საშუალებას.  </w:t>
            </w:r>
          </w:p>
          <w:p w14:paraId="0B9C5857" w14:textId="77777777" w:rsidR="004E4369" w:rsidRPr="00A37C1D" w:rsidRDefault="004E4369">
            <w:pPr>
              <w:pStyle w:val="CommentText"/>
              <w:jc w:val="both"/>
              <w:rPr>
                <w:sz w:val="22"/>
                <w:szCs w:val="22"/>
              </w:rPr>
            </w:pPr>
          </w:p>
          <w:p w14:paraId="30CC9389" w14:textId="4D5CCBC6" w:rsidR="004E4369" w:rsidRPr="00A37C1D" w:rsidRDefault="004E4369">
            <w:pPr>
              <w:pStyle w:val="CommentText"/>
              <w:jc w:val="both"/>
              <w:rPr>
                <w:lang w:val="en-US"/>
              </w:rPr>
            </w:pPr>
            <w:r w:rsidRPr="00A37C1D">
              <w:rPr>
                <w:sz w:val="22"/>
                <w:szCs w:val="22"/>
              </w:rPr>
              <w:t>რაც შეეხება დაგეგმილ ჰიდრომააკუმულირებელ ელექტროსადგურებს, მათი ლოკაცია სტრატეგიულ დოკუმენტში არ არის მოცემული და შესაბამისად, მათი სიახლოვე დაცულ ტერიტორიებთან უცნობია.</w:t>
            </w:r>
            <w:r w:rsidRPr="00A37C1D">
              <w:rPr>
                <w:color w:val="FF0000"/>
              </w:rPr>
              <w:t> </w:t>
            </w:r>
          </w:p>
        </w:tc>
      </w:tr>
      <w:tr w:rsidR="004E4369" w:rsidRPr="00A37C1D" w14:paraId="412C6C85" w14:textId="77777777" w:rsidTr="004D576A">
        <w:tc>
          <w:tcPr>
            <w:tcW w:w="562" w:type="dxa"/>
          </w:tcPr>
          <w:p w14:paraId="6FB73BBC" w14:textId="5EE829E6" w:rsidR="004E4369" w:rsidRPr="00A37C1D" w:rsidRDefault="004E4369">
            <w:pPr>
              <w:pStyle w:val="ListParagraph"/>
              <w:numPr>
                <w:ilvl w:val="0"/>
                <w:numId w:val="7"/>
              </w:numPr>
              <w:rPr>
                <w:rFonts w:ascii="Calibri" w:hAnsi="Calibri" w:cs="Calibri"/>
              </w:rPr>
            </w:pPr>
          </w:p>
        </w:tc>
        <w:tc>
          <w:tcPr>
            <w:tcW w:w="5528" w:type="dxa"/>
          </w:tcPr>
          <w:p w14:paraId="711CC621" w14:textId="77777777" w:rsidR="004E4369" w:rsidRPr="00A37C1D" w:rsidRDefault="004E4369" w:rsidP="002C40A9">
            <w:pPr>
              <w:pBdr>
                <w:top w:val="nil"/>
                <w:left w:val="nil"/>
                <w:bottom w:val="nil"/>
                <w:right w:val="nil"/>
                <w:between w:val="nil"/>
              </w:pBdr>
              <w:jc w:val="both"/>
              <w:rPr>
                <w:rFonts w:ascii="Calibri" w:eastAsia="Merriweather" w:hAnsi="Calibri" w:cs="Calibri"/>
              </w:rPr>
            </w:pPr>
            <w:r w:rsidRPr="00A37C1D">
              <w:rPr>
                <w:rFonts w:ascii="Calibri" w:eastAsia="Arial Unicode MS" w:hAnsi="Calibri" w:cs="Calibri"/>
              </w:rPr>
              <w:t>წარმოდგენილია ზოგადი საპროგნოზო ინფორმაცია კლიმატის ცვლილების შედეგად წყლის რესურსების შესახებ, მარტო იმის ხაზგასმა რომ მყინვარების დნობა იწვევს წყლის რესურსების დეფიციტს არასაკმარისია, რადგან მყინვარული საზრდოობა მხოლოდ საქართველოს მდინარეთა ნაწილზეა, ისიც სამი თვის განმავლობაში.</w:t>
            </w:r>
          </w:p>
          <w:p w14:paraId="637B8EC2" w14:textId="77777777" w:rsidR="004E4369" w:rsidRPr="00A37C1D" w:rsidRDefault="004E4369">
            <w:pPr>
              <w:jc w:val="both"/>
              <w:rPr>
                <w:rFonts w:ascii="Calibri" w:hAnsi="Calibri" w:cs="Calibri"/>
                <w:lang w:val="en-US"/>
              </w:rPr>
            </w:pPr>
          </w:p>
        </w:tc>
        <w:tc>
          <w:tcPr>
            <w:tcW w:w="8363" w:type="dxa"/>
          </w:tcPr>
          <w:p w14:paraId="54089BD0" w14:textId="139FF4A1" w:rsidR="004E4369" w:rsidRPr="00A37C1D" w:rsidRDefault="004E4369">
            <w:pPr>
              <w:pStyle w:val="CommentText"/>
              <w:jc w:val="both"/>
              <w:rPr>
                <w:sz w:val="22"/>
                <w:szCs w:val="22"/>
              </w:rPr>
            </w:pPr>
            <w:r w:rsidRPr="00A37C1D">
              <w:rPr>
                <w:sz w:val="22"/>
                <w:szCs w:val="22"/>
              </w:rPr>
              <w:t xml:space="preserve">დოკუმენტში საუბარი არ არის წყლის დეფიციტზე, რადგან არ არსებობს პროგნოზები მყინვარების დნობის ზეგავლენის თაობაზე კონკრეტული მდინარეების ჩამონადენზე. შესაბამის თავში მითითება  გაკეთებულია კლიმატის ცვლილების პოტენციურ გავლენაზე ჩამონადენზე და, აქედან გამომდინარე, ჰესებისთვის შექმნილ პოტენციურ რისკებზე. ასეთი რისკები კი  არსებობს მიუხედავად იმისა, რომ ჩამონადენში მყინვარული საზრდოობა 3 თვის განმავლობაშია.   </w:t>
            </w:r>
          </w:p>
          <w:p w14:paraId="7CF785DD" w14:textId="77777777" w:rsidR="004E4369" w:rsidRPr="00A37C1D" w:rsidRDefault="004E4369">
            <w:pPr>
              <w:pStyle w:val="CommentText"/>
              <w:jc w:val="both"/>
              <w:rPr>
                <w:sz w:val="22"/>
                <w:szCs w:val="22"/>
              </w:rPr>
            </w:pPr>
          </w:p>
          <w:p w14:paraId="305C47ED" w14:textId="25B6D3FC" w:rsidR="004E4369" w:rsidRPr="00A37C1D" w:rsidRDefault="004E4369">
            <w:pPr>
              <w:pStyle w:val="CommentText"/>
              <w:jc w:val="both"/>
              <w:rPr>
                <w:sz w:val="22"/>
                <w:szCs w:val="22"/>
              </w:rPr>
            </w:pPr>
            <w:r w:rsidRPr="00A37C1D">
              <w:rPr>
                <w:sz w:val="22"/>
                <w:szCs w:val="22"/>
              </w:rPr>
              <w:lastRenderedPageBreak/>
              <w:t>ასევე, სგშ-ის ანგარიშში მითითებულია, "აუცილებელია, რომ ჰესების ოპერირებაზე კლიმატის ცვლილების შესაძლო ზემოქმედება დეტალურად იყოს შეფასებული გზშ-ებში."</w:t>
            </w:r>
          </w:p>
          <w:p w14:paraId="7D6FB2D4" w14:textId="77777777" w:rsidR="004E4369" w:rsidRPr="00A37C1D" w:rsidRDefault="004E4369">
            <w:pPr>
              <w:jc w:val="both"/>
              <w:rPr>
                <w:rFonts w:ascii="Calibri" w:hAnsi="Calibri" w:cs="Calibri"/>
                <w:lang w:val="en-US"/>
              </w:rPr>
            </w:pPr>
          </w:p>
        </w:tc>
      </w:tr>
      <w:tr w:rsidR="004E4369" w:rsidRPr="00A37C1D" w14:paraId="7642DB7B" w14:textId="77777777" w:rsidTr="004D576A">
        <w:tc>
          <w:tcPr>
            <w:tcW w:w="562" w:type="dxa"/>
          </w:tcPr>
          <w:p w14:paraId="7D7B7A95" w14:textId="77777777" w:rsidR="004E4369" w:rsidRPr="00A37C1D" w:rsidRDefault="004E4369">
            <w:pPr>
              <w:pStyle w:val="ListParagraph"/>
              <w:numPr>
                <w:ilvl w:val="0"/>
                <w:numId w:val="7"/>
              </w:numPr>
              <w:rPr>
                <w:rFonts w:ascii="Calibri" w:hAnsi="Calibri" w:cs="Calibri"/>
              </w:rPr>
            </w:pPr>
          </w:p>
        </w:tc>
        <w:tc>
          <w:tcPr>
            <w:tcW w:w="5528" w:type="dxa"/>
          </w:tcPr>
          <w:p w14:paraId="0DA41E52" w14:textId="6D844C86" w:rsidR="004E4369" w:rsidRPr="00A37C1D" w:rsidRDefault="00CA7772" w:rsidP="002C40A9">
            <w:pPr>
              <w:pBdr>
                <w:top w:val="nil"/>
                <w:left w:val="nil"/>
                <w:bottom w:val="nil"/>
                <w:right w:val="nil"/>
                <w:between w:val="nil"/>
              </w:pBdr>
              <w:jc w:val="both"/>
              <w:rPr>
                <w:rFonts w:ascii="Calibri" w:eastAsia="Merriweather" w:hAnsi="Calibri" w:cs="Calibri"/>
              </w:rPr>
            </w:pPr>
            <w:r w:rsidRPr="00A37C1D">
              <w:rPr>
                <w:rFonts w:ascii="Calibri" w:hAnsi="Calibri" w:cs="Calibri"/>
              </w:rPr>
              <w:t>სგშ-ის ანგარიშში,</w:t>
            </w:r>
            <w:r w:rsidRPr="00A37C1D">
              <w:rPr>
                <w:rFonts w:ascii="Calibri" w:hAnsi="Calibri" w:cs="Calibri"/>
                <w:lang w:val="en-US"/>
              </w:rPr>
              <w:t xml:space="preserve"> </w:t>
            </w:r>
            <w:r w:rsidR="004E4369" w:rsidRPr="00A37C1D">
              <w:rPr>
                <w:rFonts w:ascii="Calibri" w:eastAsia="Arial Unicode MS" w:hAnsi="Calibri" w:cs="Calibri"/>
              </w:rPr>
              <w:t>გვ. 126 - გასასწორებელია ტერმინოლოგიურად და შინაარსობრივად „მინიმალური“ და „გარემოსდაცვითი ხარჯი“. საქართველოში მინიმალური ხარჯი იშვიათად გამოითვლება ანალოგიით და იგი არ არის საშუალო მრვალწლიური ხარჯის 10 %, არამედ მდინარის რეჟიმისათვის დამახასიათებელი ჩვეულებრივი ფაზაა და მის გამოთვლასაც სხვა მეთოდოლოგია გააჩნია.</w:t>
            </w:r>
          </w:p>
          <w:p w14:paraId="051AA210" w14:textId="77777777" w:rsidR="004E4369" w:rsidRPr="00A37C1D" w:rsidRDefault="004E4369">
            <w:pPr>
              <w:jc w:val="both"/>
              <w:rPr>
                <w:rFonts w:ascii="Calibri" w:hAnsi="Calibri" w:cs="Calibri"/>
                <w:lang w:val="en-US"/>
              </w:rPr>
            </w:pPr>
          </w:p>
        </w:tc>
        <w:tc>
          <w:tcPr>
            <w:tcW w:w="8363" w:type="dxa"/>
          </w:tcPr>
          <w:p w14:paraId="69ED3176" w14:textId="3EDEEE8C" w:rsidR="004775B2" w:rsidRPr="00A37C1D" w:rsidRDefault="004775B2">
            <w:pPr>
              <w:jc w:val="both"/>
              <w:rPr>
                <w:rFonts w:ascii="Calibri" w:hAnsi="Calibri" w:cs="Calibri"/>
              </w:rPr>
            </w:pPr>
            <w:r w:rsidRPr="00A37C1D">
              <w:rPr>
                <w:rFonts w:ascii="Calibri" w:hAnsi="Calibri" w:cs="Calibri"/>
              </w:rPr>
              <w:t>გათვალისწინებულია</w:t>
            </w:r>
            <w:r w:rsidR="00DB2FF3" w:rsidRPr="00A37C1D">
              <w:rPr>
                <w:rFonts w:ascii="Calibri" w:hAnsi="Calibri" w:cs="Calibri"/>
              </w:rPr>
              <w:t xml:space="preserve"> და გასწორებულია ტერმინოლოგიურად</w:t>
            </w:r>
            <w:r w:rsidRPr="00A37C1D">
              <w:rPr>
                <w:rFonts w:ascii="Calibri" w:hAnsi="Calibri" w:cs="Calibri"/>
              </w:rPr>
              <w:t>.</w:t>
            </w:r>
          </w:p>
          <w:p w14:paraId="587288E9" w14:textId="77777777" w:rsidR="004775B2" w:rsidRPr="00A37C1D" w:rsidRDefault="004775B2">
            <w:pPr>
              <w:jc w:val="both"/>
              <w:rPr>
                <w:rFonts w:ascii="Calibri" w:hAnsi="Calibri" w:cs="Calibri"/>
              </w:rPr>
            </w:pPr>
          </w:p>
          <w:p w14:paraId="39511296" w14:textId="3393C104" w:rsidR="004E4369" w:rsidRPr="00A37C1D" w:rsidRDefault="004E4369" w:rsidP="00DB2FF3">
            <w:pPr>
              <w:jc w:val="both"/>
              <w:rPr>
                <w:rFonts w:ascii="Calibri" w:hAnsi="Calibri" w:cs="Calibri"/>
                <w:lang w:val="en-US"/>
              </w:rPr>
            </w:pPr>
            <w:r w:rsidRPr="00A37C1D">
              <w:rPr>
                <w:rFonts w:ascii="Calibri" w:hAnsi="Calibri" w:cs="Calibri"/>
              </w:rPr>
              <w:t xml:space="preserve"> </w:t>
            </w:r>
          </w:p>
        </w:tc>
      </w:tr>
      <w:tr w:rsidR="00E85CB6" w:rsidRPr="00A37C1D" w14:paraId="0AFF981F" w14:textId="77777777" w:rsidTr="00013E96">
        <w:tc>
          <w:tcPr>
            <w:tcW w:w="562" w:type="dxa"/>
          </w:tcPr>
          <w:p w14:paraId="1C977A49" w14:textId="4B8F6DC2" w:rsidR="00E85CB6" w:rsidRPr="00A37C1D" w:rsidRDefault="00E85CB6" w:rsidP="00013E96">
            <w:pPr>
              <w:pStyle w:val="ListParagraph"/>
              <w:numPr>
                <w:ilvl w:val="0"/>
                <w:numId w:val="7"/>
              </w:numPr>
              <w:rPr>
                <w:rFonts w:ascii="Calibri" w:hAnsi="Calibri" w:cs="Calibri"/>
              </w:rPr>
            </w:pPr>
          </w:p>
        </w:tc>
        <w:tc>
          <w:tcPr>
            <w:tcW w:w="5528" w:type="dxa"/>
          </w:tcPr>
          <w:p w14:paraId="7A3AFEFC" w14:textId="1C540D16" w:rsidR="00E85CB6" w:rsidRPr="00A37C1D" w:rsidRDefault="00E85CB6" w:rsidP="002C40A9">
            <w:pPr>
              <w:pBdr>
                <w:top w:val="nil"/>
                <w:left w:val="nil"/>
                <w:bottom w:val="nil"/>
                <w:right w:val="nil"/>
                <w:between w:val="nil"/>
              </w:pBdr>
              <w:jc w:val="both"/>
              <w:rPr>
                <w:rFonts w:ascii="Calibri" w:eastAsia="Arial Unicode MS" w:hAnsi="Calibri" w:cs="Calibri"/>
              </w:rPr>
            </w:pPr>
            <w:r w:rsidRPr="00A37C1D">
              <w:rPr>
                <w:rFonts w:ascii="Calibri" w:hAnsi="Calibri" w:cs="Calibri"/>
              </w:rPr>
              <w:t>დასაზუსტებელია გვ. 37 (ბოლო აბზაცი) არსებული ჩანაწერი წყალსაცავების შესახებ;</w:t>
            </w:r>
          </w:p>
        </w:tc>
        <w:tc>
          <w:tcPr>
            <w:tcW w:w="8363" w:type="dxa"/>
          </w:tcPr>
          <w:p w14:paraId="4454F9CA" w14:textId="001A79FF" w:rsidR="00E85CB6" w:rsidRPr="00A37C1D" w:rsidRDefault="00FB3528" w:rsidP="00013E96">
            <w:pPr>
              <w:jc w:val="both"/>
              <w:rPr>
                <w:rFonts w:ascii="Calibri" w:hAnsi="Calibri" w:cs="Calibri"/>
              </w:rPr>
            </w:pPr>
            <w:r w:rsidRPr="00A37C1D">
              <w:rPr>
                <w:rFonts w:ascii="Calibri" w:hAnsi="Calibri" w:cs="Calibri"/>
              </w:rPr>
              <w:t>გათვალისწინებულია</w:t>
            </w:r>
          </w:p>
        </w:tc>
      </w:tr>
      <w:tr w:rsidR="004E4369" w:rsidRPr="00A37C1D" w14:paraId="637BE5CD" w14:textId="77777777" w:rsidTr="004D576A">
        <w:tc>
          <w:tcPr>
            <w:tcW w:w="562" w:type="dxa"/>
          </w:tcPr>
          <w:p w14:paraId="60EC2D9C" w14:textId="77777777" w:rsidR="004E4369" w:rsidRPr="00A37C1D" w:rsidRDefault="004E4369">
            <w:pPr>
              <w:pStyle w:val="ListParagraph"/>
              <w:numPr>
                <w:ilvl w:val="0"/>
                <w:numId w:val="7"/>
              </w:numPr>
              <w:rPr>
                <w:rFonts w:ascii="Calibri" w:hAnsi="Calibri" w:cs="Calibri"/>
              </w:rPr>
            </w:pPr>
          </w:p>
        </w:tc>
        <w:tc>
          <w:tcPr>
            <w:tcW w:w="5528" w:type="dxa"/>
          </w:tcPr>
          <w:p w14:paraId="0A78C40B" w14:textId="77777777" w:rsidR="004E4369" w:rsidRPr="00A37C1D" w:rsidRDefault="004E4369" w:rsidP="002C40A9">
            <w:pPr>
              <w:pBdr>
                <w:top w:val="nil"/>
                <w:left w:val="nil"/>
                <w:bottom w:val="nil"/>
                <w:right w:val="nil"/>
                <w:between w:val="nil"/>
              </w:pBdr>
              <w:jc w:val="both"/>
              <w:rPr>
                <w:rFonts w:ascii="Calibri" w:eastAsia="Merriweather" w:hAnsi="Calibri" w:cs="Calibri"/>
              </w:rPr>
            </w:pPr>
            <w:r w:rsidRPr="00A37C1D">
              <w:rPr>
                <w:rFonts w:ascii="Calibri" w:eastAsia="Arial Unicode MS" w:hAnsi="Calibri" w:cs="Calibri"/>
              </w:rPr>
              <w:t>გვ. 38, ნახ. 4. საშუალო წლიური ჩამონადენის რუკა არ იკითხება (ლეგენდაში ფერები ცუდად არის შერჩეული). გარდა ამისა, ჩამონადენის გრადაციის ბოლო საფეხური - 2400-4400 მმ საეჭვოა;</w:t>
            </w:r>
          </w:p>
          <w:p w14:paraId="5F9E9F93" w14:textId="77777777" w:rsidR="004E4369" w:rsidRPr="00A37C1D" w:rsidRDefault="004E4369">
            <w:pPr>
              <w:jc w:val="both"/>
              <w:rPr>
                <w:rFonts w:ascii="Calibri" w:hAnsi="Calibri" w:cs="Calibri"/>
                <w:lang w:val="en-US"/>
              </w:rPr>
            </w:pPr>
          </w:p>
        </w:tc>
        <w:tc>
          <w:tcPr>
            <w:tcW w:w="8363" w:type="dxa"/>
          </w:tcPr>
          <w:p w14:paraId="7443AE20" w14:textId="03484EB8" w:rsidR="004E4369" w:rsidRPr="00A37C1D" w:rsidRDefault="004E4369">
            <w:pPr>
              <w:jc w:val="both"/>
              <w:rPr>
                <w:rFonts w:ascii="Calibri" w:hAnsi="Calibri" w:cs="Calibri"/>
                <w:lang w:val="en-US"/>
              </w:rPr>
            </w:pPr>
            <w:r w:rsidRPr="00A37C1D">
              <w:rPr>
                <w:rFonts w:ascii="Calibri" w:hAnsi="Calibri" w:cs="Calibri"/>
              </w:rPr>
              <w:t>აღნიშნული რუკის პირველწყაროა შემდეგი კვლევა: Beldring, S., Kordzakhia, M., Kristensen. S.E., 2017 Runoff map of Georgia -</w:t>
            </w:r>
            <w:r w:rsidRPr="00A37C1D">
              <w:rPr>
                <w:rFonts w:ascii="Calibri" w:hAnsi="Calibri" w:cs="Calibri"/>
                <w:b/>
              </w:rPr>
              <w:t xml:space="preserve"> </w:t>
            </w:r>
            <w:r w:rsidRPr="00A37C1D">
              <w:rPr>
                <w:rFonts w:ascii="Calibri" w:hAnsi="Calibri" w:cs="Calibri"/>
              </w:rPr>
              <w:t>Hydrological modelling of water balance,</w:t>
            </w:r>
            <w:r w:rsidRPr="00A37C1D">
              <w:rPr>
                <w:rFonts w:ascii="Calibri" w:hAnsi="Calibri" w:cs="Calibri"/>
                <w:b/>
              </w:rPr>
              <w:t xml:space="preserve"> </w:t>
            </w:r>
            <w:r w:rsidRPr="00A37C1D">
              <w:rPr>
                <w:rFonts w:ascii="Calibri" w:hAnsi="Calibri" w:cs="Calibri"/>
              </w:rPr>
              <w:t>2017. Norwegian Water Resources and Energy Directorate.</w:t>
            </w:r>
          </w:p>
        </w:tc>
      </w:tr>
      <w:tr w:rsidR="004E4369" w:rsidRPr="00A37C1D" w14:paraId="3F202522" w14:textId="77777777" w:rsidTr="004D576A">
        <w:tc>
          <w:tcPr>
            <w:tcW w:w="562" w:type="dxa"/>
          </w:tcPr>
          <w:p w14:paraId="5BD46EA1" w14:textId="77777777" w:rsidR="004E4369" w:rsidRPr="00A37C1D" w:rsidRDefault="004E4369">
            <w:pPr>
              <w:pStyle w:val="ListParagraph"/>
              <w:numPr>
                <w:ilvl w:val="0"/>
                <w:numId w:val="7"/>
              </w:numPr>
              <w:rPr>
                <w:rFonts w:ascii="Calibri" w:hAnsi="Calibri" w:cs="Calibri"/>
              </w:rPr>
            </w:pPr>
          </w:p>
        </w:tc>
        <w:tc>
          <w:tcPr>
            <w:tcW w:w="5528" w:type="dxa"/>
          </w:tcPr>
          <w:p w14:paraId="50186989" w14:textId="128219B8" w:rsidR="004E4369" w:rsidRPr="00A37C1D" w:rsidRDefault="004E4369" w:rsidP="002C40A9">
            <w:pPr>
              <w:pBdr>
                <w:top w:val="nil"/>
                <w:left w:val="nil"/>
                <w:bottom w:val="nil"/>
                <w:right w:val="nil"/>
                <w:between w:val="nil"/>
              </w:pBdr>
              <w:jc w:val="both"/>
              <w:rPr>
                <w:rFonts w:ascii="Calibri" w:eastAsia="Merriweather" w:hAnsi="Calibri" w:cs="Calibri"/>
              </w:rPr>
            </w:pPr>
            <w:r w:rsidRPr="00A37C1D">
              <w:rPr>
                <w:rFonts w:ascii="Calibri" w:eastAsia="Arial Unicode MS" w:hAnsi="Calibri" w:cs="Calibri"/>
              </w:rPr>
              <w:t>გვ. 133, ნახ. 34, რუკაზე არ არის მოყვანილი რიონის აუზში დაგეგმილი ჰესების კასკადი;</w:t>
            </w:r>
            <w:r w:rsidR="00E85CB6" w:rsidRPr="00A37C1D">
              <w:rPr>
                <w:rFonts w:ascii="Calibri" w:eastAsia="Arial Unicode MS" w:hAnsi="Calibri" w:cs="Calibri"/>
                <w:lang w:val="en-US"/>
              </w:rPr>
              <w:t xml:space="preserve"> </w:t>
            </w:r>
            <w:r w:rsidR="00E85CB6" w:rsidRPr="00A37C1D">
              <w:rPr>
                <w:rFonts w:ascii="Calibri" w:hAnsi="Calibri" w:cs="Calibri"/>
              </w:rPr>
              <w:t>გვ. 233, ნახ. 51, რუკის სახელწოდება გასასწორებელია;</w:t>
            </w:r>
          </w:p>
          <w:p w14:paraId="7FA4FF16" w14:textId="77777777" w:rsidR="004E4369" w:rsidRPr="00A37C1D" w:rsidRDefault="004E4369">
            <w:pPr>
              <w:jc w:val="both"/>
              <w:rPr>
                <w:rFonts w:ascii="Calibri" w:hAnsi="Calibri" w:cs="Calibri"/>
                <w:lang w:val="en-US"/>
              </w:rPr>
            </w:pPr>
          </w:p>
        </w:tc>
        <w:tc>
          <w:tcPr>
            <w:tcW w:w="8363" w:type="dxa"/>
          </w:tcPr>
          <w:p w14:paraId="229EBF5D" w14:textId="01056CCE" w:rsidR="004E4369" w:rsidRPr="00A37C1D" w:rsidRDefault="004E4369">
            <w:pPr>
              <w:jc w:val="both"/>
              <w:rPr>
                <w:rFonts w:ascii="Calibri" w:hAnsi="Calibri" w:cs="Calibri"/>
              </w:rPr>
            </w:pPr>
            <w:r w:rsidRPr="00A37C1D">
              <w:rPr>
                <w:rFonts w:ascii="Calibri" w:hAnsi="Calibri" w:cs="Calibri"/>
              </w:rPr>
              <w:t>სტრატეგიული დოკუმენტით არ არის გათვალისწინებული მდ. რიონზე დაგეგმილი ჰესები. შესაბამისად, არ მოხდა მათი (ასეთის არსებობის შემთხვევაში) რუკაზე დატანა.</w:t>
            </w:r>
          </w:p>
        </w:tc>
      </w:tr>
      <w:tr w:rsidR="004E4369" w:rsidRPr="00A37C1D" w14:paraId="31FBA73C" w14:textId="77777777" w:rsidTr="004D576A">
        <w:tc>
          <w:tcPr>
            <w:tcW w:w="562" w:type="dxa"/>
          </w:tcPr>
          <w:p w14:paraId="53836E70" w14:textId="77777777" w:rsidR="004E4369" w:rsidRPr="00A37C1D" w:rsidRDefault="004E4369">
            <w:pPr>
              <w:pStyle w:val="ListParagraph"/>
              <w:numPr>
                <w:ilvl w:val="0"/>
                <w:numId w:val="7"/>
              </w:numPr>
              <w:rPr>
                <w:rFonts w:ascii="Calibri" w:hAnsi="Calibri" w:cs="Calibri"/>
              </w:rPr>
            </w:pPr>
          </w:p>
        </w:tc>
        <w:tc>
          <w:tcPr>
            <w:tcW w:w="5528" w:type="dxa"/>
          </w:tcPr>
          <w:p w14:paraId="74309BE5" w14:textId="04CA21F1" w:rsidR="004E4369" w:rsidRPr="00A37C1D" w:rsidRDefault="00E85CB6" w:rsidP="002C40A9">
            <w:pPr>
              <w:pBdr>
                <w:top w:val="nil"/>
                <w:left w:val="nil"/>
                <w:bottom w:val="nil"/>
                <w:right w:val="nil"/>
                <w:between w:val="nil"/>
              </w:pBdr>
              <w:jc w:val="both"/>
              <w:rPr>
                <w:rFonts w:ascii="Calibri" w:hAnsi="Calibri" w:cs="Calibri"/>
                <w:lang w:val="en-US"/>
              </w:rPr>
            </w:pPr>
            <w:r w:rsidRPr="00A37C1D">
              <w:rPr>
                <w:rFonts w:ascii="Calibri" w:eastAsia="Arial Unicode MS" w:hAnsi="Calibri" w:cs="Calibri"/>
              </w:rPr>
              <w:t xml:space="preserve">დასაზუსტებელია რა </w:t>
            </w:r>
            <w:r w:rsidR="004E4369" w:rsidRPr="00A37C1D">
              <w:rPr>
                <w:rFonts w:ascii="Calibri" w:eastAsia="Arial Unicode MS" w:hAnsi="Calibri" w:cs="Calibri"/>
              </w:rPr>
              <w:t xml:space="preserve">მიზნით არის მოყვანილი ერთი და იმავე დაწესებულებაში სხვადასხვა დროს შედგენილი საქართველოს გეოლოგიური საშიშროების რუკების ორი ვარიანტი (ნახ. 17, 18, და ნახახი 54, 55) და რა განსხვავებაა მათ შორის. </w:t>
            </w:r>
          </w:p>
        </w:tc>
        <w:tc>
          <w:tcPr>
            <w:tcW w:w="8363" w:type="dxa"/>
          </w:tcPr>
          <w:p w14:paraId="42B19706" w14:textId="00A3964B" w:rsidR="004E4369" w:rsidRPr="00A37C1D" w:rsidRDefault="004E4369">
            <w:pPr>
              <w:jc w:val="both"/>
              <w:rPr>
                <w:rFonts w:ascii="Calibri" w:hAnsi="Calibri" w:cs="Calibri"/>
              </w:rPr>
            </w:pPr>
            <w:r w:rsidRPr="00A37C1D">
              <w:rPr>
                <w:rFonts w:ascii="Calibri" w:hAnsi="Calibri" w:cs="Calibri"/>
              </w:rPr>
              <w:t xml:space="preserve">აღნიშნული წარმოადგენს სგშ-ის ანგარიშის მომზადებაში ჩართული შესაბამისი მიმართულების ექსპერტის გადაწყვეტილებას. </w:t>
            </w:r>
          </w:p>
        </w:tc>
      </w:tr>
      <w:tr w:rsidR="004E4369" w:rsidRPr="00A37C1D" w14:paraId="662FDE58" w14:textId="77777777" w:rsidTr="004D576A">
        <w:tc>
          <w:tcPr>
            <w:tcW w:w="562" w:type="dxa"/>
          </w:tcPr>
          <w:p w14:paraId="24A4BE89" w14:textId="77777777" w:rsidR="004E4369" w:rsidRPr="00A37C1D" w:rsidRDefault="004E4369">
            <w:pPr>
              <w:pStyle w:val="ListParagraph"/>
              <w:numPr>
                <w:ilvl w:val="0"/>
                <w:numId w:val="7"/>
              </w:numPr>
              <w:rPr>
                <w:rFonts w:ascii="Calibri" w:hAnsi="Calibri" w:cs="Calibri"/>
              </w:rPr>
            </w:pPr>
          </w:p>
        </w:tc>
        <w:tc>
          <w:tcPr>
            <w:tcW w:w="5528" w:type="dxa"/>
          </w:tcPr>
          <w:p w14:paraId="47FE6BC7" w14:textId="77777777" w:rsidR="004E4369" w:rsidRPr="00A37C1D" w:rsidRDefault="004E4369" w:rsidP="002C40A9">
            <w:pPr>
              <w:pBdr>
                <w:top w:val="nil"/>
                <w:left w:val="nil"/>
                <w:bottom w:val="nil"/>
                <w:right w:val="nil"/>
                <w:between w:val="nil"/>
              </w:pBdr>
              <w:jc w:val="both"/>
              <w:rPr>
                <w:rFonts w:ascii="Calibri" w:eastAsia="Merriweather" w:hAnsi="Calibri" w:cs="Calibri"/>
              </w:rPr>
            </w:pPr>
            <w:r w:rsidRPr="00A37C1D">
              <w:rPr>
                <w:rFonts w:ascii="Calibri" w:eastAsia="Arial Unicode MS" w:hAnsi="Calibri" w:cs="Calibri"/>
              </w:rPr>
              <w:t xml:space="preserve">გეოლოგიურ (ღვარცოფი, მეწყერი, მიწისძვრა) საშიშროების რისკებთან ერთად გასათვალისწინებელია ჰიდროლოგიური (ზვავი, წყალმოვარდნა) და აგრეთვე, ელექტროგადამცემ </w:t>
            </w:r>
            <w:r w:rsidRPr="00A37C1D">
              <w:rPr>
                <w:rFonts w:ascii="Calibri" w:eastAsia="Arial Unicode MS" w:hAnsi="Calibri" w:cs="Calibri"/>
              </w:rPr>
              <w:lastRenderedPageBreak/>
              <w:t>ხაზებთან მიმართებაში, კლიმატური (წაყინვები, ქარი) რისკებიც;</w:t>
            </w:r>
          </w:p>
          <w:p w14:paraId="5F2E54A6" w14:textId="77777777" w:rsidR="004E4369" w:rsidRPr="00A37C1D" w:rsidRDefault="004E4369">
            <w:pPr>
              <w:jc w:val="both"/>
              <w:rPr>
                <w:rFonts w:ascii="Calibri" w:hAnsi="Calibri" w:cs="Calibri"/>
                <w:lang w:val="en-US"/>
              </w:rPr>
            </w:pPr>
          </w:p>
        </w:tc>
        <w:tc>
          <w:tcPr>
            <w:tcW w:w="8363" w:type="dxa"/>
          </w:tcPr>
          <w:p w14:paraId="318F6C06" w14:textId="1F44AE87" w:rsidR="004E4369" w:rsidRPr="00A37C1D" w:rsidRDefault="004E4369" w:rsidP="00F269A7">
            <w:pPr>
              <w:jc w:val="both"/>
              <w:rPr>
                <w:rFonts w:ascii="Calibri" w:hAnsi="Calibri" w:cs="Calibri"/>
              </w:rPr>
            </w:pPr>
            <w:r w:rsidRPr="00A37C1D">
              <w:rPr>
                <w:rFonts w:ascii="Calibri" w:hAnsi="Calibri" w:cs="Calibri"/>
              </w:rPr>
              <w:lastRenderedPageBreak/>
              <w:t xml:space="preserve">სგშ-ის ანგარიშის მომზადების დროს გათვალისწინებული იქნა კანონმდებლობისა და სკოპინგის დასკვნის მოთხოვნები. გეოლოგიური და ჰიდროლოგიური </w:t>
            </w:r>
            <w:r w:rsidR="00F269A7" w:rsidRPr="00A37C1D">
              <w:rPr>
                <w:rFonts w:ascii="Calibri" w:hAnsi="Calibri" w:cs="Calibri"/>
              </w:rPr>
              <w:t xml:space="preserve">პროცესების სიღრმისეული ანალიზი წარმოადგენს  კონკრეტული </w:t>
            </w:r>
            <w:r w:rsidRPr="00A37C1D">
              <w:rPr>
                <w:rFonts w:ascii="Calibri" w:hAnsi="Calibri" w:cs="Calibri"/>
              </w:rPr>
              <w:t xml:space="preserve">პროექტის გზშ-ის </w:t>
            </w:r>
            <w:r w:rsidR="00F269A7" w:rsidRPr="00A37C1D">
              <w:rPr>
                <w:rFonts w:ascii="Calibri" w:hAnsi="Calibri" w:cs="Calibri"/>
              </w:rPr>
              <w:t xml:space="preserve">შესწავლის საგანს. </w:t>
            </w:r>
          </w:p>
        </w:tc>
      </w:tr>
      <w:tr w:rsidR="004E4369" w:rsidRPr="00A37C1D" w14:paraId="0E260EDC" w14:textId="77777777" w:rsidTr="004D576A">
        <w:tc>
          <w:tcPr>
            <w:tcW w:w="562" w:type="dxa"/>
          </w:tcPr>
          <w:p w14:paraId="471272AF" w14:textId="77777777" w:rsidR="004E4369" w:rsidRPr="00A37C1D" w:rsidRDefault="004E4369">
            <w:pPr>
              <w:pStyle w:val="ListParagraph"/>
              <w:numPr>
                <w:ilvl w:val="0"/>
                <w:numId w:val="7"/>
              </w:numPr>
              <w:rPr>
                <w:rFonts w:ascii="Calibri" w:hAnsi="Calibri" w:cs="Calibri"/>
              </w:rPr>
            </w:pPr>
          </w:p>
        </w:tc>
        <w:tc>
          <w:tcPr>
            <w:tcW w:w="5528" w:type="dxa"/>
          </w:tcPr>
          <w:p w14:paraId="379AC89A" w14:textId="77777777" w:rsidR="004E4369" w:rsidRPr="00A37C1D" w:rsidRDefault="004E4369" w:rsidP="002C40A9">
            <w:pPr>
              <w:pBdr>
                <w:top w:val="nil"/>
                <w:left w:val="nil"/>
                <w:bottom w:val="nil"/>
                <w:right w:val="nil"/>
                <w:between w:val="nil"/>
              </w:pBdr>
              <w:jc w:val="both"/>
              <w:rPr>
                <w:rFonts w:ascii="Calibri" w:eastAsia="Merriweather" w:hAnsi="Calibri" w:cs="Calibri"/>
              </w:rPr>
            </w:pPr>
            <w:r w:rsidRPr="00A37C1D">
              <w:rPr>
                <w:rFonts w:ascii="Calibri" w:eastAsia="Arial Unicode MS" w:hAnsi="Calibri" w:cs="Calibri"/>
              </w:rPr>
              <w:t>სასურველია ანგარიშის სტატისტიკური ნაწილის განახლება და მასში შოვში (2023 წ.) ჩამოყალიბებული სტიქიური პროცესის ასახვა.</w:t>
            </w:r>
          </w:p>
          <w:p w14:paraId="29C67792" w14:textId="77777777" w:rsidR="004E4369" w:rsidRPr="00A37C1D" w:rsidRDefault="004E4369">
            <w:pPr>
              <w:jc w:val="both"/>
              <w:rPr>
                <w:rFonts w:ascii="Calibri" w:hAnsi="Calibri" w:cs="Calibri"/>
                <w:lang w:val="en-US"/>
              </w:rPr>
            </w:pPr>
          </w:p>
        </w:tc>
        <w:tc>
          <w:tcPr>
            <w:tcW w:w="8363" w:type="dxa"/>
          </w:tcPr>
          <w:p w14:paraId="37E603A1" w14:textId="7597BC0C" w:rsidR="004E4369" w:rsidRPr="00A37C1D" w:rsidRDefault="004E4369">
            <w:pPr>
              <w:jc w:val="both"/>
              <w:rPr>
                <w:rFonts w:ascii="Calibri" w:hAnsi="Calibri" w:cs="Calibri"/>
                <w:lang w:val="en-US"/>
              </w:rPr>
            </w:pPr>
            <w:r w:rsidRPr="00A37C1D">
              <w:rPr>
                <w:rFonts w:ascii="Calibri" w:hAnsi="Calibri" w:cs="Calibri"/>
              </w:rPr>
              <w:t xml:space="preserve">გათვალისწინებული იქნება სამომავლოდ. </w:t>
            </w:r>
          </w:p>
        </w:tc>
      </w:tr>
      <w:tr w:rsidR="004E4369" w:rsidRPr="00A37C1D" w14:paraId="7277A7A0" w14:textId="77777777" w:rsidTr="004D576A">
        <w:tc>
          <w:tcPr>
            <w:tcW w:w="562" w:type="dxa"/>
          </w:tcPr>
          <w:p w14:paraId="405D63DA" w14:textId="77777777" w:rsidR="004E4369" w:rsidRPr="00A37C1D" w:rsidRDefault="004E4369">
            <w:pPr>
              <w:pStyle w:val="ListParagraph"/>
              <w:numPr>
                <w:ilvl w:val="0"/>
                <w:numId w:val="7"/>
              </w:numPr>
              <w:rPr>
                <w:rFonts w:ascii="Calibri" w:hAnsi="Calibri" w:cs="Calibri"/>
              </w:rPr>
            </w:pPr>
          </w:p>
        </w:tc>
        <w:tc>
          <w:tcPr>
            <w:tcW w:w="5528" w:type="dxa"/>
          </w:tcPr>
          <w:p w14:paraId="59CC6D33" w14:textId="68EB5B28" w:rsidR="004E4369" w:rsidRPr="00A37C1D" w:rsidRDefault="004E4369" w:rsidP="002C40A9">
            <w:pPr>
              <w:jc w:val="both"/>
              <w:rPr>
                <w:rFonts w:ascii="Calibri" w:eastAsia="Arial Unicode MS" w:hAnsi="Calibri" w:cs="Calibri"/>
              </w:rPr>
            </w:pPr>
            <w:r w:rsidRPr="00A37C1D">
              <w:rPr>
                <w:rFonts w:ascii="Calibri" w:eastAsia="Arial Unicode MS" w:hAnsi="Calibri" w:cs="Calibri"/>
              </w:rPr>
              <w:t xml:space="preserve">სასურველია ენერგეტიკული პოლიტიკის დოკუმენტებსა და სტრატეგიულ გარემოსდაცვით შეფასებაში მოყვანილი იყოს მნიშვნელოვანი ენერგეტიკული ობიექტების გეოლოგიური გარემოს ფონური - საბაზისო მდგომარეობა. </w:t>
            </w:r>
          </w:p>
        </w:tc>
        <w:tc>
          <w:tcPr>
            <w:tcW w:w="8363" w:type="dxa"/>
          </w:tcPr>
          <w:p w14:paraId="3C35AE97" w14:textId="57057032" w:rsidR="004E4369" w:rsidRPr="00A37C1D" w:rsidRDefault="004E4369">
            <w:pPr>
              <w:jc w:val="both"/>
              <w:rPr>
                <w:rFonts w:ascii="Calibri" w:hAnsi="Calibri" w:cs="Calibri"/>
                <w:lang w:val="en-US"/>
              </w:rPr>
            </w:pPr>
            <w:r w:rsidRPr="00A37C1D">
              <w:rPr>
                <w:rFonts w:ascii="Calibri" w:hAnsi="Calibri" w:cs="Calibri"/>
              </w:rPr>
              <w:t>დეტალური გეოლოგიური და სხვა სახის შეფასებები დაკონკრეტდება თითოეული ობიექტის გზშ-ის ეტაპზე.</w:t>
            </w:r>
          </w:p>
        </w:tc>
      </w:tr>
      <w:tr w:rsidR="004E4369" w:rsidRPr="00A37C1D" w14:paraId="32200235" w14:textId="77777777" w:rsidTr="004D576A">
        <w:tc>
          <w:tcPr>
            <w:tcW w:w="562" w:type="dxa"/>
          </w:tcPr>
          <w:p w14:paraId="43C6E1B0" w14:textId="77777777" w:rsidR="004E4369" w:rsidRPr="00A37C1D" w:rsidRDefault="004E4369">
            <w:pPr>
              <w:pStyle w:val="ListParagraph"/>
              <w:numPr>
                <w:ilvl w:val="0"/>
                <w:numId w:val="7"/>
              </w:numPr>
              <w:rPr>
                <w:rFonts w:ascii="Calibri" w:hAnsi="Calibri" w:cs="Calibri"/>
              </w:rPr>
            </w:pPr>
          </w:p>
        </w:tc>
        <w:tc>
          <w:tcPr>
            <w:tcW w:w="5528" w:type="dxa"/>
          </w:tcPr>
          <w:p w14:paraId="45487602" w14:textId="77777777" w:rsidR="004E4369" w:rsidRPr="00A37C1D" w:rsidRDefault="004E4369" w:rsidP="002C40A9">
            <w:pPr>
              <w:jc w:val="both"/>
              <w:rPr>
                <w:rFonts w:ascii="Calibri" w:eastAsia="Arial" w:hAnsi="Calibri" w:cs="Calibri"/>
              </w:rPr>
            </w:pPr>
            <w:r w:rsidRPr="00A37C1D">
              <w:rPr>
                <w:rFonts w:ascii="Calibri" w:eastAsia="Arial Unicode MS" w:hAnsi="Calibri" w:cs="Calibri"/>
              </w:rPr>
              <w:t>საფრთხეების შემცირების ღონისძიებების სახეობები და მოცულობები განხილული უნდა იქნას გეოლოგიური გარემოს ცვლილების პროგნოზის შესაბამისად;</w:t>
            </w:r>
          </w:p>
          <w:p w14:paraId="3FCCE9BD" w14:textId="77777777" w:rsidR="004E4369" w:rsidRPr="00A37C1D" w:rsidRDefault="004E4369">
            <w:pPr>
              <w:pBdr>
                <w:top w:val="nil"/>
                <w:left w:val="nil"/>
                <w:bottom w:val="nil"/>
                <w:right w:val="nil"/>
                <w:between w:val="nil"/>
              </w:pBdr>
              <w:ind w:left="720"/>
              <w:jc w:val="both"/>
              <w:rPr>
                <w:rFonts w:ascii="Calibri" w:eastAsia="Arial Unicode MS" w:hAnsi="Calibri" w:cs="Calibri"/>
              </w:rPr>
            </w:pPr>
          </w:p>
        </w:tc>
        <w:tc>
          <w:tcPr>
            <w:tcW w:w="8363" w:type="dxa"/>
          </w:tcPr>
          <w:p w14:paraId="4D904125" w14:textId="28E84633" w:rsidR="004E4369" w:rsidRPr="00A37C1D" w:rsidRDefault="00572CA3" w:rsidP="00572CA3">
            <w:pPr>
              <w:jc w:val="both"/>
              <w:rPr>
                <w:rFonts w:ascii="Calibri" w:hAnsi="Calibri" w:cs="Calibri"/>
                <w:lang w:val="en-US"/>
              </w:rPr>
            </w:pPr>
            <w:r w:rsidRPr="00A37C1D">
              <w:rPr>
                <w:rFonts w:ascii="Calibri" w:hAnsi="Calibri" w:cs="Calibri"/>
              </w:rPr>
              <w:t xml:space="preserve">დეტალური გეოლოგიური შეფასებები </w:t>
            </w:r>
            <w:r w:rsidRPr="00A37C1D">
              <w:rPr>
                <w:rFonts w:ascii="Calibri" w:eastAsia="Arial Unicode MS" w:hAnsi="Calibri" w:cs="Calibri"/>
              </w:rPr>
              <w:t xml:space="preserve">გეოლოგიური გარემოს ცვლილების პროგნოზის შესაბამისად </w:t>
            </w:r>
            <w:r w:rsidR="009463B6" w:rsidRPr="00A37C1D">
              <w:rPr>
                <w:rFonts w:ascii="Calibri" w:eastAsia="Arial Unicode MS" w:hAnsi="Calibri" w:cs="Calibri"/>
              </w:rPr>
              <w:t xml:space="preserve">უნდა </w:t>
            </w:r>
            <w:r w:rsidRPr="00A37C1D">
              <w:rPr>
                <w:rFonts w:ascii="Calibri" w:hAnsi="Calibri" w:cs="Calibri"/>
              </w:rPr>
              <w:t>გაკეთდე</w:t>
            </w:r>
            <w:r w:rsidR="009463B6" w:rsidRPr="00A37C1D">
              <w:rPr>
                <w:rFonts w:ascii="Calibri" w:hAnsi="Calibri" w:cs="Calibri"/>
              </w:rPr>
              <w:t>ს</w:t>
            </w:r>
            <w:r w:rsidRPr="00A37C1D">
              <w:rPr>
                <w:rFonts w:ascii="Calibri" w:hAnsi="Calibri" w:cs="Calibri"/>
              </w:rPr>
              <w:t xml:space="preserve"> თითოეული ობიექტის გზშ-ის ეტაპზე.</w:t>
            </w:r>
          </w:p>
        </w:tc>
      </w:tr>
      <w:tr w:rsidR="004E4369" w:rsidRPr="00A37C1D" w14:paraId="2F1C3A13" w14:textId="77777777" w:rsidTr="004D576A">
        <w:tc>
          <w:tcPr>
            <w:tcW w:w="562" w:type="dxa"/>
          </w:tcPr>
          <w:p w14:paraId="40265C36" w14:textId="77777777" w:rsidR="004E4369" w:rsidRPr="00A37C1D" w:rsidRDefault="004E4369">
            <w:pPr>
              <w:pStyle w:val="ListParagraph"/>
              <w:numPr>
                <w:ilvl w:val="0"/>
                <w:numId w:val="7"/>
              </w:numPr>
              <w:rPr>
                <w:rFonts w:ascii="Calibri" w:hAnsi="Calibri" w:cs="Calibri"/>
              </w:rPr>
            </w:pPr>
          </w:p>
        </w:tc>
        <w:tc>
          <w:tcPr>
            <w:tcW w:w="5528" w:type="dxa"/>
          </w:tcPr>
          <w:p w14:paraId="6CD2FC7A" w14:textId="4B4EC9ED" w:rsidR="004E4369" w:rsidRPr="00A37C1D" w:rsidRDefault="004E4369" w:rsidP="002C40A9">
            <w:pPr>
              <w:jc w:val="both"/>
              <w:rPr>
                <w:rFonts w:ascii="Calibri" w:eastAsia="Arial" w:hAnsi="Calibri" w:cs="Calibri"/>
              </w:rPr>
            </w:pPr>
            <w:r w:rsidRPr="00A37C1D">
              <w:rPr>
                <w:rFonts w:ascii="Calibri" w:eastAsia="Arial Unicode MS" w:hAnsi="Calibri" w:cs="Calibri"/>
              </w:rPr>
              <w:t>სტრატეგიული გარემოსდაცვითი შეფასების ანგარიშში ( გვ</w:t>
            </w:r>
            <w:r w:rsidR="00EE33AE" w:rsidRPr="00A37C1D">
              <w:rPr>
                <w:rFonts w:ascii="Calibri" w:eastAsia="Arial Unicode MS" w:hAnsi="Calibri" w:cs="Calibri"/>
              </w:rPr>
              <w:t xml:space="preserve"> </w:t>
            </w:r>
            <w:r w:rsidRPr="00A37C1D">
              <w:rPr>
                <w:rFonts w:ascii="Calibri" w:eastAsia="Arial Unicode MS" w:hAnsi="Calibri" w:cs="Calibri"/>
              </w:rPr>
              <w:t>67-68 ) ნახ. 17:18 ტერიტორიის დარაიონების რუკების სათაურები და მათი დასახელება განსხვავებულია რუკაზე - „საშიშროების რისკი“ „აქტიურობის რისკი“, ნახატების სათაურებში კი - „მიდრეკილების რისკი“</w:t>
            </w:r>
          </w:p>
          <w:p w14:paraId="1AAC4CE6" w14:textId="77777777" w:rsidR="004E4369" w:rsidRPr="00A37C1D" w:rsidRDefault="004E4369">
            <w:pPr>
              <w:pBdr>
                <w:top w:val="nil"/>
                <w:left w:val="nil"/>
                <w:bottom w:val="nil"/>
                <w:right w:val="nil"/>
                <w:between w:val="nil"/>
              </w:pBdr>
              <w:ind w:left="720"/>
              <w:jc w:val="both"/>
              <w:rPr>
                <w:rFonts w:ascii="Calibri" w:eastAsia="Arial Unicode MS" w:hAnsi="Calibri" w:cs="Calibri"/>
              </w:rPr>
            </w:pPr>
          </w:p>
        </w:tc>
        <w:tc>
          <w:tcPr>
            <w:tcW w:w="8363" w:type="dxa"/>
          </w:tcPr>
          <w:p w14:paraId="58AAE4E6" w14:textId="13B15CC7" w:rsidR="004E4369" w:rsidRPr="00A37C1D" w:rsidRDefault="003A2BD4">
            <w:pPr>
              <w:jc w:val="both"/>
              <w:rPr>
                <w:rFonts w:ascii="Calibri" w:hAnsi="Calibri" w:cs="Calibri"/>
                <w:lang w:val="en-US"/>
              </w:rPr>
            </w:pPr>
            <w:r w:rsidRPr="00A37C1D">
              <w:rPr>
                <w:rFonts w:ascii="Calibri" w:hAnsi="Calibri" w:cs="Calibri"/>
              </w:rPr>
              <w:t>წარმოადგენს</w:t>
            </w:r>
            <w:r w:rsidR="004E4369" w:rsidRPr="00A37C1D">
              <w:rPr>
                <w:rFonts w:ascii="Calibri" w:hAnsi="Calibri" w:cs="Calibri"/>
              </w:rPr>
              <w:t xml:space="preserve"> მექანიკურ შეცდომა</w:t>
            </w:r>
            <w:r w:rsidRPr="00A37C1D">
              <w:rPr>
                <w:rFonts w:ascii="Calibri" w:hAnsi="Calibri" w:cs="Calibri"/>
              </w:rPr>
              <w:t>ს</w:t>
            </w:r>
            <w:r w:rsidR="004E4369" w:rsidRPr="00A37C1D">
              <w:rPr>
                <w:rFonts w:ascii="Calibri" w:hAnsi="Calibri" w:cs="Calibri"/>
              </w:rPr>
              <w:t xml:space="preserve">. </w:t>
            </w:r>
            <w:r w:rsidR="00EE33AE" w:rsidRPr="00A37C1D">
              <w:rPr>
                <w:rFonts w:ascii="Calibri" w:hAnsi="Calibri" w:cs="Calibri"/>
              </w:rPr>
              <w:t xml:space="preserve">გათვალისწინებულია. </w:t>
            </w:r>
          </w:p>
        </w:tc>
      </w:tr>
    </w:tbl>
    <w:p w14:paraId="47EF9532" w14:textId="489EEFA6" w:rsidR="006A1078" w:rsidRPr="00A37C1D" w:rsidRDefault="00013E96" w:rsidP="00194F2D">
      <w:pPr>
        <w:pStyle w:val="CommentText"/>
        <w:jc w:val="both"/>
        <w:rPr>
          <w:lang w:val="en-US"/>
        </w:rPr>
      </w:pPr>
      <w:r w:rsidRPr="00A37C1D">
        <w:rPr>
          <w:lang w:val="en-US"/>
        </w:rPr>
        <w:br w:type="textWrapping" w:clear="all"/>
      </w:r>
    </w:p>
    <w:sectPr w:rsidR="006A1078" w:rsidRPr="00A37C1D" w:rsidSect="00BF7133">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BD624" w14:textId="77777777" w:rsidR="005F2CED" w:rsidRDefault="005F2CED" w:rsidP="00EE2E06">
      <w:pPr>
        <w:spacing w:after="0" w:line="240" w:lineRule="auto"/>
      </w:pPr>
      <w:r>
        <w:separator/>
      </w:r>
    </w:p>
  </w:endnote>
  <w:endnote w:type="continuationSeparator" w:id="0">
    <w:p w14:paraId="4BFE4756" w14:textId="77777777" w:rsidR="005F2CED" w:rsidRDefault="005F2CED" w:rsidP="00EE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1047" w14:textId="77777777" w:rsidR="005F2CED" w:rsidRDefault="005F2CED" w:rsidP="00EE2E06">
      <w:pPr>
        <w:spacing w:after="0" w:line="240" w:lineRule="auto"/>
      </w:pPr>
      <w:r>
        <w:separator/>
      </w:r>
    </w:p>
  </w:footnote>
  <w:footnote w:type="continuationSeparator" w:id="0">
    <w:p w14:paraId="22938AB0" w14:textId="77777777" w:rsidR="005F2CED" w:rsidRDefault="005F2CED" w:rsidP="00EE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4368" w14:textId="16CA3085" w:rsidR="004B2558" w:rsidRDefault="004B2558">
    <w:pPr>
      <w:pStyle w:val="Header"/>
    </w:pPr>
    <w:r>
      <w:rPr>
        <w:noProof/>
        <w:lang w:val="en-US"/>
      </w:rPr>
      <w:drawing>
        <wp:anchor distT="0" distB="0" distL="114300" distR="114300" simplePos="0" relativeHeight="251658240" behindDoc="0" locked="0" layoutInCell="1" allowOverlap="1" wp14:anchorId="462870DD" wp14:editId="7025468C">
          <wp:simplePos x="0" y="0"/>
          <wp:positionH relativeFrom="column">
            <wp:posOffset>-590550</wp:posOffset>
          </wp:positionH>
          <wp:positionV relativeFrom="paragraph">
            <wp:posOffset>-290830</wp:posOffset>
          </wp:positionV>
          <wp:extent cx="3714750" cy="483235"/>
          <wp:effectExtent l="0" t="0" r="0" b="0"/>
          <wp:wrapSquare wrapText="bothSides"/>
          <wp:docPr id="73441933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419339" name="Picture 1" descr="A close up of a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14750" cy="483235"/>
                  </a:xfrm>
                  <a:prstGeom prst="rect">
                    <a:avLst/>
                  </a:prstGeom>
                </pic:spPr>
              </pic:pic>
            </a:graphicData>
          </a:graphic>
          <wp14:sizeRelH relativeFrom="margin">
            <wp14:pctWidth>0</wp14:pctWidth>
          </wp14:sizeRelH>
          <wp14:sizeRelV relativeFrom="margin">
            <wp14:pctHeight>0</wp14:pctHeight>
          </wp14:sizeRelV>
        </wp:anchor>
      </w:drawing>
    </w:r>
  </w:p>
  <w:p w14:paraId="36EDFE2C" w14:textId="02866186" w:rsidR="004B2558" w:rsidRDefault="004B2558" w:rsidP="00EE2E06">
    <w:pPr>
      <w:pStyle w:val="Header"/>
      <w:rPr>
        <w:rFonts w:ascii="Calibri" w:hAnsi="Calibri" w:cs="Calibri"/>
        <w:b/>
        <w:bCs/>
        <w:color w:val="808080" w:themeColor="background1" w:themeShade="80"/>
      </w:rPr>
    </w:pPr>
    <w:r w:rsidRPr="00EE2E06">
      <w:rPr>
        <w:rFonts w:ascii="Calibri" w:hAnsi="Calibri" w:cs="Calibri"/>
        <w:b/>
        <w:bCs/>
        <w:color w:val="808080" w:themeColor="background1" w:themeShade="80"/>
      </w:rPr>
      <w:t>შენიშვნების გათვალისწინების ფურცელი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F68E0"/>
    <w:multiLevelType w:val="hybridMultilevel"/>
    <w:tmpl w:val="45F07E1E"/>
    <w:lvl w:ilvl="0" w:tplc="63180542">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32525"/>
    <w:multiLevelType w:val="hybridMultilevel"/>
    <w:tmpl w:val="753AB406"/>
    <w:lvl w:ilvl="0" w:tplc="F83844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53E4D"/>
    <w:multiLevelType w:val="hybridMultilevel"/>
    <w:tmpl w:val="963AC4BC"/>
    <w:lvl w:ilvl="0" w:tplc="F83844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3722B"/>
    <w:multiLevelType w:val="multilevel"/>
    <w:tmpl w:val="556C7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3A4116"/>
    <w:multiLevelType w:val="multilevel"/>
    <w:tmpl w:val="45486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CE4A79"/>
    <w:multiLevelType w:val="multilevel"/>
    <w:tmpl w:val="7470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D92EEE"/>
    <w:multiLevelType w:val="hybridMultilevel"/>
    <w:tmpl w:val="A4D6276A"/>
    <w:lvl w:ilvl="0" w:tplc="3FCCEC2E">
      <w:start w:val="1"/>
      <w:numFmt w:val="bullet"/>
      <w:lvlText w:val="‒"/>
      <w:lvlJc w:val="left"/>
      <w:pPr>
        <w:ind w:left="2629" w:hanging="360"/>
      </w:pPr>
      <w:rPr>
        <w:rFonts w:ascii="Calibri" w:hAnsi="Calibri" w:cs="Times New Roman" w:hint="default"/>
      </w:rPr>
    </w:lvl>
    <w:lvl w:ilvl="1" w:tplc="04090003">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2A"/>
    <w:rsid w:val="00003FB5"/>
    <w:rsid w:val="00007D4C"/>
    <w:rsid w:val="00013E96"/>
    <w:rsid w:val="00026DA7"/>
    <w:rsid w:val="00033228"/>
    <w:rsid w:val="00087DB7"/>
    <w:rsid w:val="000A5EFA"/>
    <w:rsid w:val="000B68B7"/>
    <w:rsid w:val="000D4FE9"/>
    <w:rsid w:val="000E512E"/>
    <w:rsid w:val="00107491"/>
    <w:rsid w:val="00110B32"/>
    <w:rsid w:val="00114063"/>
    <w:rsid w:val="00126DB8"/>
    <w:rsid w:val="0012759C"/>
    <w:rsid w:val="00144C9B"/>
    <w:rsid w:val="00152EE4"/>
    <w:rsid w:val="001545EA"/>
    <w:rsid w:val="00161673"/>
    <w:rsid w:val="00173C8E"/>
    <w:rsid w:val="00175C5A"/>
    <w:rsid w:val="00183C34"/>
    <w:rsid w:val="00183FFC"/>
    <w:rsid w:val="00194F2D"/>
    <w:rsid w:val="001A598B"/>
    <w:rsid w:val="001A64AC"/>
    <w:rsid w:val="001D5315"/>
    <w:rsid w:val="001E29B8"/>
    <w:rsid w:val="001E434E"/>
    <w:rsid w:val="0020500E"/>
    <w:rsid w:val="0022137B"/>
    <w:rsid w:val="00221865"/>
    <w:rsid w:val="00223A0A"/>
    <w:rsid w:val="002306D0"/>
    <w:rsid w:val="00242125"/>
    <w:rsid w:val="002513C1"/>
    <w:rsid w:val="0026022B"/>
    <w:rsid w:val="00261487"/>
    <w:rsid w:val="0026509C"/>
    <w:rsid w:val="0027408A"/>
    <w:rsid w:val="00280376"/>
    <w:rsid w:val="00280679"/>
    <w:rsid w:val="002C05CA"/>
    <w:rsid w:val="002C267E"/>
    <w:rsid w:val="002C3AA2"/>
    <w:rsid w:val="002C40A9"/>
    <w:rsid w:val="002F0A9A"/>
    <w:rsid w:val="002F25B3"/>
    <w:rsid w:val="002F2B5D"/>
    <w:rsid w:val="003036FC"/>
    <w:rsid w:val="00304172"/>
    <w:rsid w:val="00316B32"/>
    <w:rsid w:val="00322392"/>
    <w:rsid w:val="00324462"/>
    <w:rsid w:val="00346E59"/>
    <w:rsid w:val="00353A86"/>
    <w:rsid w:val="00356A89"/>
    <w:rsid w:val="00373103"/>
    <w:rsid w:val="003A2BD4"/>
    <w:rsid w:val="003B391C"/>
    <w:rsid w:val="003B76D1"/>
    <w:rsid w:val="003C1634"/>
    <w:rsid w:val="003C2DF8"/>
    <w:rsid w:val="003E2EFF"/>
    <w:rsid w:val="004010F2"/>
    <w:rsid w:val="00407BD8"/>
    <w:rsid w:val="00422BA9"/>
    <w:rsid w:val="00423EF3"/>
    <w:rsid w:val="00434012"/>
    <w:rsid w:val="00447133"/>
    <w:rsid w:val="0046715E"/>
    <w:rsid w:val="00471FA9"/>
    <w:rsid w:val="004720ED"/>
    <w:rsid w:val="00476889"/>
    <w:rsid w:val="004775B2"/>
    <w:rsid w:val="004834FA"/>
    <w:rsid w:val="0048600F"/>
    <w:rsid w:val="00491CAB"/>
    <w:rsid w:val="004A2D3B"/>
    <w:rsid w:val="004B2558"/>
    <w:rsid w:val="004B3B8E"/>
    <w:rsid w:val="004B72AE"/>
    <w:rsid w:val="004D576A"/>
    <w:rsid w:val="004D7C96"/>
    <w:rsid w:val="004E4369"/>
    <w:rsid w:val="004E627B"/>
    <w:rsid w:val="004F32A2"/>
    <w:rsid w:val="004F5F40"/>
    <w:rsid w:val="00522A8F"/>
    <w:rsid w:val="005306AB"/>
    <w:rsid w:val="0053360D"/>
    <w:rsid w:val="00542F3F"/>
    <w:rsid w:val="00561E32"/>
    <w:rsid w:val="005630C5"/>
    <w:rsid w:val="00572CA3"/>
    <w:rsid w:val="00576A10"/>
    <w:rsid w:val="00590F65"/>
    <w:rsid w:val="005A5E47"/>
    <w:rsid w:val="005A7E77"/>
    <w:rsid w:val="005B2A7A"/>
    <w:rsid w:val="005B4C4B"/>
    <w:rsid w:val="005B58A2"/>
    <w:rsid w:val="005C309A"/>
    <w:rsid w:val="005C5138"/>
    <w:rsid w:val="005C5D53"/>
    <w:rsid w:val="005C647C"/>
    <w:rsid w:val="005F2CED"/>
    <w:rsid w:val="00606950"/>
    <w:rsid w:val="006106A2"/>
    <w:rsid w:val="00614221"/>
    <w:rsid w:val="00645E60"/>
    <w:rsid w:val="00651184"/>
    <w:rsid w:val="00654FE2"/>
    <w:rsid w:val="00666783"/>
    <w:rsid w:val="0067112A"/>
    <w:rsid w:val="006726DF"/>
    <w:rsid w:val="00672EBD"/>
    <w:rsid w:val="006922F6"/>
    <w:rsid w:val="006967B1"/>
    <w:rsid w:val="006979CC"/>
    <w:rsid w:val="006A1078"/>
    <w:rsid w:val="006C002C"/>
    <w:rsid w:val="006C4A7F"/>
    <w:rsid w:val="006C6AC2"/>
    <w:rsid w:val="006C6D52"/>
    <w:rsid w:val="006E02AC"/>
    <w:rsid w:val="006E7265"/>
    <w:rsid w:val="006E7887"/>
    <w:rsid w:val="006F14D0"/>
    <w:rsid w:val="006F38FB"/>
    <w:rsid w:val="00701F6E"/>
    <w:rsid w:val="007059D7"/>
    <w:rsid w:val="00707BB7"/>
    <w:rsid w:val="007119D3"/>
    <w:rsid w:val="007127C2"/>
    <w:rsid w:val="00713F68"/>
    <w:rsid w:val="007169D4"/>
    <w:rsid w:val="00724D73"/>
    <w:rsid w:val="00727115"/>
    <w:rsid w:val="00727488"/>
    <w:rsid w:val="00730345"/>
    <w:rsid w:val="007329C3"/>
    <w:rsid w:val="00734242"/>
    <w:rsid w:val="00743987"/>
    <w:rsid w:val="00743DFE"/>
    <w:rsid w:val="007449AB"/>
    <w:rsid w:val="00744C84"/>
    <w:rsid w:val="00751F25"/>
    <w:rsid w:val="00757D90"/>
    <w:rsid w:val="007637ED"/>
    <w:rsid w:val="00776AFB"/>
    <w:rsid w:val="007778C2"/>
    <w:rsid w:val="00790225"/>
    <w:rsid w:val="007922B2"/>
    <w:rsid w:val="00793039"/>
    <w:rsid w:val="007A1B35"/>
    <w:rsid w:val="007B17A5"/>
    <w:rsid w:val="007B2BD8"/>
    <w:rsid w:val="007C08D9"/>
    <w:rsid w:val="007C73A0"/>
    <w:rsid w:val="007E2D18"/>
    <w:rsid w:val="007E4267"/>
    <w:rsid w:val="007E430E"/>
    <w:rsid w:val="007F1EEE"/>
    <w:rsid w:val="007F6863"/>
    <w:rsid w:val="00810AFF"/>
    <w:rsid w:val="00825462"/>
    <w:rsid w:val="00825ED4"/>
    <w:rsid w:val="00833BDA"/>
    <w:rsid w:val="008341CF"/>
    <w:rsid w:val="00844CA1"/>
    <w:rsid w:val="008668C0"/>
    <w:rsid w:val="00872DCD"/>
    <w:rsid w:val="00880636"/>
    <w:rsid w:val="00882274"/>
    <w:rsid w:val="008852DF"/>
    <w:rsid w:val="00885F90"/>
    <w:rsid w:val="00897971"/>
    <w:rsid w:val="008A3491"/>
    <w:rsid w:val="008B16D2"/>
    <w:rsid w:val="008C2F88"/>
    <w:rsid w:val="008C373C"/>
    <w:rsid w:val="008C6703"/>
    <w:rsid w:val="008E0750"/>
    <w:rsid w:val="008E2CB1"/>
    <w:rsid w:val="008E5790"/>
    <w:rsid w:val="00906C99"/>
    <w:rsid w:val="00921672"/>
    <w:rsid w:val="00942E85"/>
    <w:rsid w:val="00944466"/>
    <w:rsid w:val="009463B6"/>
    <w:rsid w:val="00961193"/>
    <w:rsid w:val="0096319D"/>
    <w:rsid w:val="00975FDD"/>
    <w:rsid w:val="009809EA"/>
    <w:rsid w:val="00982882"/>
    <w:rsid w:val="0099079C"/>
    <w:rsid w:val="00993430"/>
    <w:rsid w:val="0099375F"/>
    <w:rsid w:val="009B654D"/>
    <w:rsid w:val="009B6F63"/>
    <w:rsid w:val="009C0916"/>
    <w:rsid w:val="009D28BA"/>
    <w:rsid w:val="009E0A47"/>
    <w:rsid w:val="009F6C2A"/>
    <w:rsid w:val="00A05A03"/>
    <w:rsid w:val="00A16A9F"/>
    <w:rsid w:val="00A21057"/>
    <w:rsid w:val="00A24B9F"/>
    <w:rsid w:val="00A251FC"/>
    <w:rsid w:val="00A31B55"/>
    <w:rsid w:val="00A33035"/>
    <w:rsid w:val="00A36AF5"/>
    <w:rsid w:val="00A36CA9"/>
    <w:rsid w:val="00A37C1D"/>
    <w:rsid w:val="00A4007A"/>
    <w:rsid w:val="00A43AF1"/>
    <w:rsid w:val="00A51C42"/>
    <w:rsid w:val="00A542EF"/>
    <w:rsid w:val="00A722DF"/>
    <w:rsid w:val="00A726A9"/>
    <w:rsid w:val="00A773A9"/>
    <w:rsid w:val="00A8034E"/>
    <w:rsid w:val="00A807C8"/>
    <w:rsid w:val="00A837DF"/>
    <w:rsid w:val="00A9436E"/>
    <w:rsid w:val="00AA6505"/>
    <w:rsid w:val="00AA7C28"/>
    <w:rsid w:val="00AB2F1C"/>
    <w:rsid w:val="00AC1F44"/>
    <w:rsid w:val="00AC7E68"/>
    <w:rsid w:val="00AD355F"/>
    <w:rsid w:val="00AE2162"/>
    <w:rsid w:val="00B0264F"/>
    <w:rsid w:val="00B02CDF"/>
    <w:rsid w:val="00B039EE"/>
    <w:rsid w:val="00B1084A"/>
    <w:rsid w:val="00B213DE"/>
    <w:rsid w:val="00B32AD0"/>
    <w:rsid w:val="00B3358C"/>
    <w:rsid w:val="00B46AF7"/>
    <w:rsid w:val="00B55710"/>
    <w:rsid w:val="00B87E22"/>
    <w:rsid w:val="00B90425"/>
    <w:rsid w:val="00B93804"/>
    <w:rsid w:val="00B9421E"/>
    <w:rsid w:val="00BC1A0D"/>
    <w:rsid w:val="00BC2547"/>
    <w:rsid w:val="00BC358C"/>
    <w:rsid w:val="00BD321C"/>
    <w:rsid w:val="00BD3235"/>
    <w:rsid w:val="00BD736C"/>
    <w:rsid w:val="00BE7F8B"/>
    <w:rsid w:val="00BF7133"/>
    <w:rsid w:val="00C01374"/>
    <w:rsid w:val="00C120C3"/>
    <w:rsid w:val="00C20705"/>
    <w:rsid w:val="00C27A38"/>
    <w:rsid w:val="00C30650"/>
    <w:rsid w:val="00C372EA"/>
    <w:rsid w:val="00C42A8C"/>
    <w:rsid w:val="00C72995"/>
    <w:rsid w:val="00C80E41"/>
    <w:rsid w:val="00CA4761"/>
    <w:rsid w:val="00CA7772"/>
    <w:rsid w:val="00CB6F68"/>
    <w:rsid w:val="00CC22CA"/>
    <w:rsid w:val="00CC2BF7"/>
    <w:rsid w:val="00CD47F6"/>
    <w:rsid w:val="00CE147A"/>
    <w:rsid w:val="00CE7C4E"/>
    <w:rsid w:val="00CF3B25"/>
    <w:rsid w:val="00CF4B81"/>
    <w:rsid w:val="00D036C6"/>
    <w:rsid w:val="00D07E82"/>
    <w:rsid w:val="00D15568"/>
    <w:rsid w:val="00D17176"/>
    <w:rsid w:val="00D245F1"/>
    <w:rsid w:val="00D31F4F"/>
    <w:rsid w:val="00D34E32"/>
    <w:rsid w:val="00D3503B"/>
    <w:rsid w:val="00D57E33"/>
    <w:rsid w:val="00D73D32"/>
    <w:rsid w:val="00D74A7C"/>
    <w:rsid w:val="00D83857"/>
    <w:rsid w:val="00D8562F"/>
    <w:rsid w:val="00D96566"/>
    <w:rsid w:val="00DB2FF3"/>
    <w:rsid w:val="00DC0A16"/>
    <w:rsid w:val="00DC1A78"/>
    <w:rsid w:val="00DC269C"/>
    <w:rsid w:val="00DF4B33"/>
    <w:rsid w:val="00E00B6E"/>
    <w:rsid w:val="00E029A0"/>
    <w:rsid w:val="00E13409"/>
    <w:rsid w:val="00E14659"/>
    <w:rsid w:val="00E24A26"/>
    <w:rsid w:val="00E308AE"/>
    <w:rsid w:val="00E32E8D"/>
    <w:rsid w:val="00E3353C"/>
    <w:rsid w:val="00E36E33"/>
    <w:rsid w:val="00E40C7B"/>
    <w:rsid w:val="00E85CB6"/>
    <w:rsid w:val="00EA3517"/>
    <w:rsid w:val="00EA4C6B"/>
    <w:rsid w:val="00EB2224"/>
    <w:rsid w:val="00EB2342"/>
    <w:rsid w:val="00EB2765"/>
    <w:rsid w:val="00EC413A"/>
    <w:rsid w:val="00EC5DF4"/>
    <w:rsid w:val="00ED0F99"/>
    <w:rsid w:val="00ED1842"/>
    <w:rsid w:val="00ED6C95"/>
    <w:rsid w:val="00EE2E06"/>
    <w:rsid w:val="00EE33AE"/>
    <w:rsid w:val="00EE6583"/>
    <w:rsid w:val="00F06074"/>
    <w:rsid w:val="00F160D1"/>
    <w:rsid w:val="00F17C35"/>
    <w:rsid w:val="00F23F3D"/>
    <w:rsid w:val="00F24FCC"/>
    <w:rsid w:val="00F269A7"/>
    <w:rsid w:val="00F30C66"/>
    <w:rsid w:val="00F51DD7"/>
    <w:rsid w:val="00F607CB"/>
    <w:rsid w:val="00F72074"/>
    <w:rsid w:val="00F753C6"/>
    <w:rsid w:val="00F813A7"/>
    <w:rsid w:val="00F8311F"/>
    <w:rsid w:val="00F94155"/>
    <w:rsid w:val="00F96FBD"/>
    <w:rsid w:val="00FA2926"/>
    <w:rsid w:val="00FB2E92"/>
    <w:rsid w:val="00FB3528"/>
    <w:rsid w:val="00FB3AB9"/>
    <w:rsid w:val="00FB6977"/>
    <w:rsid w:val="00FB6EB5"/>
    <w:rsid w:val="00FD2920"/>
    <w:rsid w:val="00FD77F9"/>
    <w:rsid w:val="00FF51ED"/>
    <w:rsid w:val="00FF630D"/>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7F91E"/>
  <w15:chartTrackingRefBased/>
  <w15:docId w15:val="{50D47740-B833-4426-BD10-225C70EE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ka-G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F753C6"/>
    <w:pPr>
      <w:keepNext/>
      <w:keepLines/>
      <w:shd w:val="clear" w:color="auto" w:fill="FFFFFF"/>
      <w:spacing w:after="120" w:line="240" w:lineRule="auto"/>
      <w:jc w:val="both"/>
      <w:outlineLvl w:val="3"/>
    </w:pPr>
    <w:rPr>
      <w:rFonts w:ascii="Sylfaen" w:eastAsiaTheme="majorEastAsia" w:hAnsi="Sylfaen" w:cstheme="minorHAnsi"/>
      <w:b/>
      <w:bCs/>
      <w:i/>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E06"/>
  </w:style>
  <w:style w:type="paragraph" w:styleId="Footer">
    <w:name w:val="footer"/>
    <w:basedOn w:val="Normal"/>
    <w:link w:val="FooterChar"/>
    <w:uiPriority w:val="99"/>
    <w:unhideWhenUsed/>
    <w:rsid w:val="00EE2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E06"/>
  </w:style>
  <w:style w:type="table" w:styleId="TableGrid">
    <w:name w:val="Table Grid"/>
    <w:basedOn w:val="TableNormal"/>
    <w:uiPriority w:val="39"/>
    <w:rsid w:val="006A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F7"/>
    <w:rPr>
      <w:sz w:val="16"/>
      <w:szCs w:val="16"/>
    </w:rPr>
  </w:style>
  <w:style w:type="paragraph" w:styleId="CommentText">
    <w:name w:val="annotation text"/>
    <w:basedOn w:val="Normal"/>
    <w:link w:val="CommentTextChar"/>
    <w:uiPriority w:val="99"/>
    <w:unhideWhenUsed/>
    <w:rsid w:val="00B46AF7"/>
    <w:pPr>
      <w:spacing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B46AF7"/>
    <w:rPr>
      <w:rFonts w:ascii="Calibri" w:eastAsia="Calibri" w:hAnsi="Calibri" w:cs="Calibri"/>
      <w:kern w:val="0"/>
      <w:sz w:val="20"/>
      <w:szCs w:val="20"/>
      <w14:ligatures w14:val="none"/>
    </w:rPr>
  </w:style>
  <w:style w:type="paragraph" w:styleId="BalloonText">
    <w:name w:val="Balloon Text"/>
    <w:basedOn w:val="Normal"/>
    <w:link w:val="BalloonTextChar"/>
    <w:uiPriority w:val="99"/>
    <w:semiHidden/>
    <w:unhideWhenUsed/>
    <w:rsid w:val="00AB2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1C"/>
    <w:rPr>
      <w:rFonts w:ascii="Segoe UI" w:hAnsi="Segoe UI" w:cs="Segoe UI"/>
      <w:sz w:val="18"/>
      <w:szCs w:val="18"/>
    </w:rPr>
  </w:style>
  <w:style w:type="paragraph" w:styleId="HTMLPreformatted">
    <w:name w:val="HTML Preformatted"/>
    <w:basedOn w:val="Normal"/>
    <w:link w:val="HTMLPreformattedChar"/>
    <w:uiPriority w:val="99"/>
    <w:unhideWhenUsed/>
    <w:rsid w:val="00AB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0"/>
      <w:sz w:val="20"/>
      <w:szCs w:val="20"/>
      <w:lang w:val="en-US"/>
      <w14:ligatures w14:val="none"/>
    </w:rPr>
  </w:style>
  <w:style w:type="character" w:customStyle="1" w:styleId="HTMLPreformattedChar">
    <w:name w:val="HTML Preformatted Char"/>
    <w:basedOn w:val="DefaultParagraphFont"/>
    <w:link w:val="HTMLPreformatted"/>
    <w:uiPriority w:val="99"/>
    <w:rsid w:val="00AB2F1C"/>
    <w:rPr>
      <w:rFonts w:ascii="Courier New" w:hAnsi="Courier New" w:cs="Courier New"/>
      <w:kern w:val="0"/>
      <w:sz w:val="20"/>
      <w:szCs w:val="20"/>
      <w:lang w:val="en-US"/>
      <w14:ligatures w14:val="none"/>
    </w:rPr>
  </w:style>
  <w:style w:type="character" w:styleId="Strong">
    <w:name w:val="Strong"/>
    <w:basedOn w:val="DefaultParagraphFont"/>
    <w:uiPriority w:val="22"/>
    <w:qFormat/>
    <w:rsid w:val="00AB2F1C"/>
    <w:rPr>
      <w:b/>
      <w:bCs/>
    </w:rPr>
  </w:style>
  <w:style w:type="character" w:styleId="Emphasis">
    <w:name w:val="Emphasis"/>
    <w:basedOn w:val="DefaultParagraphFont"/>
    <w:uiPriority w:val="20"/>
    <w:qFormat/>
    <w:rsid w:val="00AB2F1C"/>
    <w:rPr>
      <w:i/>
      <w:iCs/>
    </w:rPr>
  </w:style>
  <w:style w:type="character" w:customStyle="1" w:styleId="y2iqfc">
    <w:name w:val="y2iqfc"/>
    <w:basedOn w:val="DefaultParagraphFont"/>
    <w:rsid w:val="00AB2F1C"/>
  </w:style>
  <w:style w:type="paragraph" w:styleId="CommentSubject">
    <w:name w:val="annotation subject"/>
    <w:basedOn w:val="CommentText"/>
    <w:next w:val="CommentText"/>
    <w:link w:val="CommentSubjectChar"/>
    <w:uiPriority w:val="99"/>
    <w:semiHidden/>
    <w:unhideWhenUsed/>
    <w:rsid w:val="00304172"/>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04172"/>
    <w:rPr>
      <w:rFonts w:ascii="Calibri" w:eastAsia="Calibri" w:hAnsi="Calibri" w:cs="Calibri"/>
      <w:b/>
      <w:bCs/>
      <w:kern w:val="0"/>
      <w:sz w:val="20"/>
      <w:szCs w:val="20"/>
      <w14:ligatures w14:val="none"/>
    </w:rPr>
  </w:style>
  <w:style w:type="paragraph" w:styleId="Revision">
    <w:name w:val="Revision"/>
    <w:hidden/>
    <w:uiPriority w:val="99"/>
    <w:semiHidden/>
    <w:rsid w:val="00E308AE"/>
    <w:pPr>
      <w:spacing w:after="0" w:line="240" w:lineRule="auto"/>
    </w:pPr>
  </w:style>
  <w:style w:type="paragraph" w:styleId="ListParagraph">
    <w:name w:val="List Paragraph"/>
    <w:aliases w:val="List Paragraph1,Ha,Bullets,Bullet list,Heading 2_sj,Numbered Para 1,Dot pt,No Spacing1,List Paragraph Char Char Char,Indicator Text,Bullet 1,Bullet Points,MAIN CONTENT,List Paragraph12,F5 List Paragraph,1st level - Bullet List Paragraph,H"/>
    <w:basedOn w:val="Normal"/>
    <w:link w:val="ListParagraphChar"/>
    <w:uiPriority w:val="34"/>
    <w:qFormat/>
    <w:rsid w:val="00FD2920"/>
    <w:pPr>
      <w:ind w:left="720"/>
      <w:contextualSpacing/>
      <w:jc w:val="both"/>
    </w:pPr>
    <w:rPr>
      <w:rFonts w:eastAsiaTheme="minorEastAsia"/>
      <w:kern w:val="0"/>
      <w:lang w:val="en-US"/>
      <w14:ligatures w14:val="none"/>
    </w:rPr>
  </w:style>
  <w:style w:type="character" w:customStyle="1" w:styleId="ListParagraphChar">
    <w:name w:val="List Paragraph Char"/>
    <w:aliases w:val="List Paragraph1 Char,Ha Char,Bullets Char,Bullet list Char,Heading 2_sj Char,Numbered Para 1 Char,Dot pt Char,No Spacing1 Char,List Paragraph Char Char Char Char,Indicator Text Char,Bullet 1 Char,Bullet Points Char,MAIN CONTENT Char"/>
    <w:link w:val="ListParagraph"/>
    <w:uiPriority w:val="34"/>
    <w:qFormat/>
    <w:rsid w:val="00FD2920"/>
    <w:rPr>
      <w:rFonts w:eastAsiaTheme="minorEastAsia"/>
      <w:kern w:val="0"/>
      <w:lang w:val="en-US"/>
      <w14:ligatures w14:val="none"/>
    </w:rPr>
  </w:style>
  <w:style w:type="character" w:customStyle="1" w:styleId="Heading4Char">
    <w:name w:val="Heading 4 Char"/>
    <w:basedOn w:val="DefaultParagraphFont"/>
    <w:link w:val="Heading4"/>
    <w:uiPriority w:val="9"/>
    <w:rsid w:val="00F753C6"/>
    <w:rPr>
      <w:rFonts w:ascii="Sylfaen" w:eastAsiaTheme="majorEastAsia" w:hAnsi="Sylfaen" w:cstheme="minorHAnsi"/>
      <w:b/>
      <w:bCs/>
      <w:i/>
      <w:kern w:val="0"/>
      <w:shd w:val="clear" w:color="auto" w:fill="FFFFFF"/>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2227">
      <w:bodyDiv w:val="1"/>
      <w:marLeft w:val="0"/>
      <w:marRight w:val="0"/>
      <w:marTop w:val="0"/>
      <w:marBottom w:val="0"/>
      <w:divBdr>
        <w:top w:val="none" w:sz="0" w:space="0" w:color="auto"/>
        <w:left w:val="none" w:sz="0" w:space="0" w:color="auto"/>
        <w:bottom w:val="none" w:sz="0" w:space="0" w:color="auto"/>
        <w:right w:val="none" w:sz="0" w:space="0" w:color="auto"/>
      </w:divBdr>
    </w:div>
    <w:div w:id="459495700">
      <w:bodyDiv w:val="1"/>
      <w:marLeft w:val="0"/>
      <w:marRight w:val="0"/>
      <w:marTop w:val="0"/>
      <w:marBottom w:val="0"/>
      <w:divBdr>
        <w:top w:val="none" w:sz="0" w:space="0" w:color="auto"/>
        <w:left w:val="none" w:sz="0" w:space="0" w:color="auto"/>
        <w:bottom w:val="none" w:sz="0" w:space="0" w:color="auto"/>
        <w:right w:val="none" w:sz="0" w:space="0" w:color="auto"/>
      </w:divBdr>
    </w:div>
    <w:div w:id="1170951376">
      <w:bodyDiv w:val="1"/>
      <w:marLeft w:val="0"/>
      <w:marRight w:val="0"/>
      <w:marTop w:val="0"/>
      <w:marBottom w:val="0"/>
      <w:divBdr>
        <w:top w:val="none" w:sz="0" w:space="0" w:color="auto"/>
        <w:left w:val="none" w:sz="0" w:space="0" w:color="auto"/>
        <w:bottom w:val="none" w:sz="0" w:space="0" w:color="auto"/>
        <w:right w:val="none" w:sz="0" w:space="0" w:color="auto"/>
      </w:divBdr>
    </w:div>
    <w:div w:id="1226993045">
      <w:bodyDiv w:val="1"/>
      <w:marLeft w:val="0"/>
      <w:marRight w:val="0"/>
      <w:marTop w:val="0"/>
      <w:marBottom w:val="0"/>
      <w:divBdr>
        <w:top w:val="none" w:sz="0" w:space="0" w:color="auto"/>
        <w:left w:val="none" w:sz="0" w:space="0" w:color="auto"/>
        <w:bottom w:val="none" w:sz="0" w:space="0" w:color="auto"/>
        <w:right w:val="none" w:sz="0" w:space="0" w:color="auto"/>
      </w:divBdr>
    </w:div>
    <w:div w:id="1544826230">
      <w:bodyDiv w:val="1"/>
      <w:marLeft w:val="0"/>
      <w:marRight w:val="0"/>
      <w:marTop w:val="0"/>
      <w:marBottom w:val="0"/>
      <w:divBdr>
        <w:top w:val="none" w:sz="0" w:space="0" w:color="auto"/>
        <w:left w:val="none" w:sz="0" w:space="0" w:color="auto"/>
        <w:bottom w:val="none" w:sz="0" w:space="0" w:color="auto"/>
        <w:right w:val="none" w:sz="0" w:space="0" w:color="auto"/>
      </w:divBdr>
    </w:div>
    <w:div w:id="1970937652">
      <w:bodyDiv w:val="1"/>
      <w:marLeft w:val="0"/>
      <w:marRight w:val="0"/>
      <w:marTop w:val="0"/>
      <w:marBottom w:val="0"/>
      <w:divBdr>
        <w:top w:val="none" w:sz="0" w:space="0" w:color="auto"/>
        <w:left w:val="none" w:sz="0" w:space="0" w:color="auto"/>
        <w:bottom w:val="none" w:sz="0" w:space="0" w:color="auto"/>
        <w:right w:val="none" w:sz="0" w:space="0" w:color="auto"/>
      </w:divBdr>
    </w:div>
    <w:div w:id="20071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549A82-1C3E-4A4F-B129-A19DEFD4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6506</Words>
  <Characters>37087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soso mindiashvili</dc:creator>
  <cp:keywords/>
  <dc:description/>
  <cp:lastModifiedBy>MoESD</cp:lastModifiedBy>
  <cp:revision>2</cp:revision>
  <dcterms:created xsi:type="dcterms:W3CDTF">2024-03-18T12:15:00Z</dcterms:created>
  <dcterms:modified xsi:type="dcterms:W3CDTF">2024-03-18T12:15:00Z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2024-02-23T13:47:11Z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2648f681-e0ff-4191-aa5b-3df95f26b50b</vt:lpwstr>
  </property>
  <property fmtid="{D5CDD505-2E9C-101B-9397-08002B2CF9AE}" pid="8" name="MSIP_Label_ea60d57e-af5b-4752-ac57-3e4f28ca11dc_ContentBits">
    <vt:lpwstr>0</vt:lpwstr>
  </property>
</Properties>
</file>